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3D411" w14:textId="78BF15B9" w:rsidR="00072C88" w:rsidRDefault="00272704" w:rsidP="000A7C1C">
      <w:pPr>
        <w:tabs>
          <w:tab w:val="right" w:pos="8787"/>
        </w:tabs>
        <w:jc w:val="both"/>
        <w:rPr>
          <w:rFonts w:cs="Arial"/>
        </w:rPr>
      </w:pPr>
      <w:r>
        <w:rPr>
          <w:rFonts w:cs="Arial"/>
          <w:b/>
        </w:rPr>
        <w:t>6</w:t>
      </w:r>
      <w:r w:rsidR="00072C88" w:rsidRPr="00915E90">
        <w:rPr>
          <w:rFonts w:cs="Arial"/>
          <w:b/>
        </w:rPr>
        <w:t xml:space="preserve">Policy No: CP </w:t>
      </w:r>
      <w:r w:rsidR="00063473">
        <w:rPr>
          <w:rFonts w:cs="Arial"/>
          <w:b/>
        </w:rPr>
        <w:t>20</w:t>
      </w:r>
      <w:r w:rsidR="00072C88" w:rsidRPr="00915E90">
        <w:rPr>
          <w:rFonts w:cs="Arial"/>
          <w:b/>
        </w:rPr>
        <w:tab/>
        <w:t xml:space="preserve">  Reference:  </w:t>
      </w:r>
      <w:r w:rsidR="00357D26">
        <w:rPr>
          <w:rFonts w:cs="Arial"/>
          <w:b/>
        </w:rPr>
        <w:t>D-</w:t>
      </w:r>
      <w:r w:rsidR="007E0169">
        <w:rPr>
          <w:rFonts w:cs="Arial"/>
          <w:b/>
        </w:rPr>
        <w:t>2</w:t>
      </w:r>
      <w:r>
        <w:rPr>
          <w:rFonts w:cs="Arial"/>
          <w:b/>
        </w:rPr>
        <w:t>6</w:t>
      </w:r>
      <w:r w:rsidR="007E0169">
        <w:rPr>
          <w:rFonts w:cs="Arial"/>
          <w:b/>
        </w:rPr>
        <w:t>-</w:t>
      </w:r>
      <w:r>
        <w:rPr>
          <w:rFonts w:cs="Arial"/>
          <w:b/>
        </w:rPr>
        <w:t>000</w:t>
      </w:r>
      <w:r w:rsidR="00EC6C5D">
        <w:rPr>
          <w:rFonts w:cs="Arial"/>
          <w:b/>
        </w:rPr>
        <w:t>2456</w:t>
      </w:r>
    </w:p>
    <w:p w14:paraId="239B4D2B" w14:textId="77777777" w:rsidR="00072C88" w:rsidRPr="00915E90" w:rsidRDefault="00072C88" w:rsidP="000A7C1C">
      <w:pPr>
        <w:tabs>
          <w:tab w:val="right" w:pos="8787"/>
        </w:tabs>
        <w:jc w:val="both"/>
        <w:rPr>
          <w:rFonts w:cs="Arial"/>
        </w:rPr>
      </w:pPr>
    </w:p>
    <w:p w14:paraId="17EC3EEB" w14:textId="77777777" w:rsidR="00072C88" w:rsidRPr="00915E90" w:rsidRDefault="00072C88" w:rsidP="000A7C1C">
      <w:pPr>
        <w:shd w:val="clear" w:color="auto" w:fill="0070C0"/>
        <w:jc w:val="both"/>
        <w:rPr>
          <w:rFonts w:cs="Arial"/>
          <w:b/>
          <w:color w:val="FFFFFF" w:themeColor="background1"/>
        </w:rPr>
      </w:pPr>
      <w:r>
        <w:rPr>
          <w:rFonts w:cs="Arial"/>
          <w:b/>
          <w:color w:val="FFFFFF" w:themeColor="background1"/>
        </w:rPr>
        <w:t>P</w:t>
      </w:r>
      <w:r w:rsidRPr="00915E90">
        <w:rPr>
          <w:rFonts w:cs="Arial"/>
          <w:b/>
          <w:color w:val="FFFFFF" w:themeColor="background1"/>
        </w:rPr>
        <w:t xml:space="preserve">olicy Title:  </w:t>
      </w:r>
      <w:r w:rsidR="00C91FE4">
        <w:rPr>
          <w:rFonts w:cs="Arial"/>
          <w:b/>
          <w:color w:val="FFFFFF" w:themeColor="background1"/>
        </w:rPr>
        <w:t>ATTENDANCE AT EVENTS POLICY</w:t>
      </w:r>
      <w:r w:rsidRPr="00915E90">
        <w:rPr>
          <w:rFonts w:cs="Arial"/>
          <w:b/>
          <w:color w:val="FFFFFF" w:themeColor="background1"/>
        </w:rPr>
        <w:t xml:space="preserve"> </w:t>
      </w:r>
    </w:p>
    <w:p w14:paraId="5D367E1C" w14:textId="77777777" w:rsidR="00072C88" w:rsidRPr="00915E90" w:rsidRDefault="00072C88" w:rsidP="000A7C1C">
      <w:pPr>
        <w:jc w:val="both"/>
        <w:rPr>
          <w:rFonts w:cs="Arial"/>
          <w:b/>
        </w:rPr>
      </w:pPr>
    </w:p>
    <w:p w14:paraId="0E90CF9E" w14:textId="77777777" w:rsidR="00072C88" w:rsidRPr="00F10AFD" w:rsidRDefault="00072C88" w:rsidP="000A7C1C">
      <w:pPr>
        <w:jc w:val="both"/>
        <w:rPr>
          <w:rFonts w:cs="Arial"/>
          <w:b/>
          <w:sz w:val="26"/>
          <w:szCs w:val="26"/>
        </w:rPr>
      </w:pPr>
      <w:r w:rsidRPr="00F10AFD">
        <w:rPr>
          <w:rFonts w:cs="Arial"/>
          <w:b/>
          <w:sz w:val="26"/>
          <w:szCs w:val="26"/>
        </w:rPr>
        <w:t>Policy Statement:</w:t>
      </w:r>
    </w:p>
    <w:p w14:paraId="647992E6" w14:textId="77777777" w:rsidR="00BC052C" w:rsidRDefault="00BC052C" w:rsidP="000A7C1C">
      <w:pPr>
        <w:pStyle w:val="Default"/>
        <w:jc w:val="both"/>
        <w:rPr>
          <w:color w:val="2C2D2E"/>
          <w:sz w:val="22"/>
          <w:szCs w:val="22"/>
        </w:rPr>
      </w:pPr>
      <w:r>
        <w:rPr>
          <w:color w:val="2C2D2E"/>
          <w:sz w:val="22"/>
          <w:szCs w:val="22"/>
        </w:rPr>
        <w:t xml:space="preserve">Section 5.90A of the </w:t>
      </w:r>
      <w:r>
        <w:rPr>
          <w:i/>
          <w:iCs/>
          <w:color w:val="2C2D2E"/>
          <w:sz w:val="22"/>
          <w:szCs w:val="22"/>
        </w:rPr>
        <w:t xml:space="preserve">Local Government Act 1995 </w:t>
      </w:r>
      <w:r>
        <w:rPr>
          <w:color w:val="2C2D2E"/>
          <w:sz w:val="22"/>
          <w:szCs w:val="22"/>
        </w:rPr>
        <w:t xml:space="preserve">provides that a local government must prepare and adopt an Attendance at Events policy. </w:t>
      </w:r>
    </w:p>
    <w:p w14:paraId="27056BBB" w14:textId="77777777" w:rsidR="00316BD3" w:rsidRDefault="00316BD3" w:rsidP="000A7C1C">
      <w:pPr>
        <w:pStyle w:val="Default"/>
        <w:jc w:val="both"/>
        <w:rPr>
          <w:sz w:val="22"/>
          <w:szCs w:val="22"/>
        </w:rPr>
      </w:pPr>
    </w:p>
    <w:p w14:paraId="1602A72C" w14:textId="77777777" w:rsidR="00BC052C" w:rsidRDefault="00BC052C" w:rsidP="000A7C1C">
      <w:pPr>
        <w:jc w:val="both"/>
        <w:rPr>
          <w:color w:val="2C2D2E"/>
        </w:rPr>
      </w:pPr>
      <w:r>
        <w:rPr>
          <w:color w:val="2C2D2E"/>
        </w:rPr>
        <w:t>This policy is made in accordance with those provisions</w:t>
      </w:r>
      <w:r w:rsidR="00033C87">
        <w:rPr>
          <w:color w:val="2C2D2E"/>
        </w:rPr>
        <w:t>.</w:t>
      </w:r>
    </w:p>
    <w:p w14:paraId="7ED40C56" w14:textId="77777777" w:rsidR="00BC052C" w:rsidRDefault="00BC052C" w:rsidP="000A7C1C">
      <w:pPr>
        <w:jc w:val="both"/>
        <w:rPr>
          <w:color w:val="2C2D2E"/>
        </w:rPr>
      </w:pPr>
    </w:p>
    <w:p w14:paraId="27EA38C7" w14:textId="77777777" w:rsidR="00F95A2E" w:rsidRPr="00F10AFD" w:rsidRDefault="00F95A2E" w:rsidP="000A7C1C">
      <w:pPr>
        <w:jc w:val="both"/>
        <w:rPr>
          <w:rFonts w:cs="Arial"/>
          <w:b/>
          <w:sz w:val="26"/>
          <w:szCs w:val="26"/>
          <w:lang w:val="en-US"/>
        </w:rPr>
      </w:pPr>
      <w:r w:rsidRPr="00F10AFD">
        <w:rPr>
          <w:rFonts w:cs="Arial"/>
          <w:b/>
          <w:sz w:val="26"/>
          <w:szCs w:val="26"/>
          <w:lang w:val="en-US"/>
        </w:rPr>
        <w:t>Objective:</w:t>
      </w:r>
    </w:p>
    <w:p w14:paraId="573076DA" w14:textId="77777777" w:rsidR="006B16C1" w:rsidRPr="00F47A42" w:rsidRDefault="006B16C1" w:rsidP="000A7C1C">
      <w:pPr>
        <w:jc w:val="both"/>
        <w:rPr>
          <w:rFonts w:cs="Arial"/>
        </w:rPr>
      </w:pPr>
      <w:r w:rsidRPr="00F47A42">
        <w:rPr>
          <w:rFonts w:cs="Arial"/>
        </w:rPr>
        <w:t xml:space="preserve">This policy addresses attendance at any events, including concerts, conferences, functions or sporting events, whether free of charge, part of a sponsorship agreement, or paid by the local government. The purpose of the policy is to provide transparency about the attendance at events of </w:t>
      </w:r>
      <w:r>
        <w:rPr>
          <w:rFonts w:cs="Arial"/>
        </w:rPr>
        <w:t>MRC Councillors and the Chief Executive O</w:t>
      </w:r>
      <w:r w:rsidRPr="00F47A42">
        <w:rPr>
          <w:rFonts w:cs="Arial"/>
        </w:rPr>
        <w:t xml:space="preserve">fficer (CEO).  </w:t>
      </w:r>
    </w:p>
    <w:p w14:paraId="3322B4A2" w14:textId="77777777" w:rsidR="005733C2" w:rsidRDefault="005733C2" w:rsidP="000A7C1C">
      <w:pPr>
        <w:jc w:val="both"/>
        <w:rPr>
          <w:rFonts w:cs="Arial"/>
          <w:b/>
        </w:rPr>
      </w:pPr>
    </w:p>
    <w:p w14:paraId="7A0F9271" w14:textId="00292236" w:rsidR="00FD1F37" w:rsidRPr="00F10AFD" w:rsidRDefault="00F10AFD" w:rsidP="000A7C1C">
      <w:pPr>
        <w:jc w:val="both"/>
        <w:rPr>
          <w:rFonts w:cs="Arial"/>
          <w:b/>
          <w:sz w:val="26"/>
          <w:szCs w:val="26"/>
        </w:rPr>
      </w:pPr>
      <w:r w:rsidRPr="00F10AFD">
        <w:rPr>
          <w:rFonts w:cs="Arial"/>
          <w:b/>
          <w:sz w:val="26"/>
          <w:szCs w:val="26"/>
        </w:rPr>
        <w:t>Statutory Requirements:</w:t>
      </w:r>
    </w:p>
    <w:p w14:paraId="285A5109" w14:textId="77777777" w:rsidR="00FD1F37" w:rsidRPr="006B16C1" w:rsidRDefault="00FD1F37" w:rsidP="000A7C1C">
      <w:pPr>
        <w:jc w:val="both"/>
        <w:rPr>
          <w:rFonts w:cs="Arial"/>
          <w:b/>
        </w:rPr>
      </w:pPr>
      <w:r w:rsidRPr="006B16C1">
        <w:rPr>
          <w:rFonts w:cs="Arial"/>
          <w:b/>
        </w:rPr>
        <w:t>Local Government Act 1995</w:t>
      </w:r>
    </w:p>
    <w:p w14:paraId="2BE3947F" w14:textId="77777777" w:rsidR="00FD1F37" w:rsidRPr="006B16C1" w:rsidRDefault="00FD1F37" w:rsidP="000A7C1C">
      <w:pPr>
        <w:jc w:val="both"/>
        <w:rPr>
          <w:rFonts w:cs="Arial"/>
        </w:rPr>
      </w:pPr>
      <w:r w:rsidRPr="006B16C1">
        <w:rPr>
          <w:rFonts w:cs="Arial"/>
        </w:rPr>
        <w:t>5.90A Policy for attendance at events</w:t>
      </w:r>
    </w:p>
    <w:p w14:paraId="54C497E3" w14:textId="77777777" w:rsidR="00FD1F37" w:rsidRDefault="00FD1F37" w:rsidP="000A7C1C">
      <w:pPr>
        <w:pStyle w:val="Default"/>
        <w:jc w:val="both"/>
      </w:pPr>
    </w:p>
    <w:p w14:paraId="1503D1CF" w14:textId="77777777" w:rsidR="00FD1F37" w:rsidRDefault="00FD1F37" w:rsidP="000A7C1C">
      <w:pPr>
        <w:pStyle w:val="Default"/>
        <w:jc w:val="both"/>
        <w:rPr>
          <w:sz w:val="22"/>
          <w:szCs w:val="22"/>
        </w:rPr>
      </w:pPr>
      <w:r>
        <w:rPr>
          <w:color w:val="2C2D2E"/>
          <w:sz w:val="22"/>
          <w:szCs w:val="22"/>
        </w:rPr>
        <w:t xml:space="preserve">(1) In this section — </w:t>
      </w:r>
    </w:p>
    <w:p w14:paraId="4E94ACB8" w14:textId="77777777" w:rsidR="00FD1F37" w:rsidRPr="00BC052C" w:rsidRDefault="00FD1F37" w:rsidP="000A7C1C">
      <w:pPr>
        <w:pStyle w:val="Default"/>
        <w:jc w:val="both"/>
        <w:rPr>
          <w:color w:val="2C2D2E"/>
          <w:sz w:val="22"/>
          <w:szCs w:val="22"/>
        </w:rPr>
      </w:pPr>
      <w:r>
        <w:rPr>
          <w:b/>
          <w:bCs/>
          <w:i/>
          <w:iCs/>
          <w:color w:val="2C2D2E"/>
          <w:sz w:val="22"/>
          <w:szCs w:val="22"/>
        </w:rPr>
        <w:t xml:space="preserve">event </w:t>
      </w:r>
      <w:r w:rsidRPr="00BC052C">
        <w:rPr>
          <w:bCs/>
          <w:i/>
          <w:iCs/>
          <w:color w:val="2C2D2E"/>
          <w:sz w:val="22"/>
          <w:szCs w:val="22"/>
        </w:rPr>
        <w:t xml:space="preserve">includes the following — </w:t>
      </w:r>
    </w:p>
    <w:p w14:paraId="38B2E35D" w14:textId="77777777" w:rsidR="00FD1F37" w:rsidRDefault="00FD1F37" w:rsidP="000A7C1C">
      <w:pPr>
        <w:pStyle w:val="Default"/>
        <w:jc w:val="both"/>
        <w:rPr>
          <w:color w:val="2C2D2E"/>
          <w:sz w:val="22"/>
          <w:szCs w:val="22"/>
        </w:rPr>
      </w:pPr>
      <w:r>
        <w:rPr>
          <w:color w:val="2C2D2E"/>
          <w:sz w:val="22"/>
          <w:szCs w:val="22"/>
        </w:rPr>
        <w:t xml:space="preserve">(a) a concert; </w:t>
      </w:r>
    </w:p>
    <w:p w14:paraId="41C93C6E" w14:textId="77777777" w:rsidR="00FD1F37" w:rsidRDefault="00FD1F37" w:rsidP="000A7C1C">
      <w:pPr>
        <w:pStyle w:val="Default"/>
        <w:jc w:val="both"/>
        <w:rPr>
          <w:color w:val="2C2D2E"/>
          <w:sz w:val="22"/>
          <w:szCs w:val="22"/>
        </w:rPr>
      </w:pPr>
      <w:r>
        <w:rPr>
          <w:color w:val="2C2D2E"/>
          <w:sz w:val="22"/>
          <w:szCs w:val="22"/>
        </w:rPr>
        <w:t xml:space="preserve">(b) a conference; </w:t>
      </w:r>
    </w:p>
    <w:p w14:paraId="6020130A" w14:textId="77777777" w:rsidR="00FD1F37" w:rsidRDefault="00FD1F37" w:rsidP="000A7C1C">
      <w:pPr>
        <w:pStyle w:val="Default"/>
        <w:jc w:val="both"/>
        <w:rPr>
          <w:color w:val="2C2D2E"/>
          <w:sz w:val="22"/>
          <w:szCs w:val="22"/>
        </w:rPr>
      </w:pPr>
      <w:r>
        <w:rPr>
          <w:color w:val="2C2D2E"/>
          <w:sz w:val="22"/>
          <w:szCs w:val="22"/>
        </w:rPr>
        <w:t xml:space="preserve">(c) a function; </w:t>
      </w:r>
    </w:p>
    <w:p w14:paraId="4987409F" w14:textId="77777777" w:rsidR="00FD1F37" w:rsidRDefault="00FD1F37" w:rsidP="000A7C1C">
      <w:pPr>
        <w:pStyle w:val="Default"/>
        <w:jc w:val="both"/>
        <w:rPr>
          <w:color w:val="2C2D2E"/>
          <w:sz w:val="22"/>
          <w:szCs w:val="22"/>
        </w:rPr>
      </w:pPr>
      <w:r>
        <w:rPr>
          <w:color w:val="2C2D2E"/>
          <w:sz w:val="22"/>
          <w:szCs w:val="22"/>
        </w:rPr>
        <w:t xml:space="preserve">(d) a sporting event; </w:t>
      </w:r>
    </w:p>
    <w:p w14:paraId="64C6F35E" w14:textId="77777777" w:rsidR="00FD1F37" w:rsidRDefault="00FD1F37" w:rsidP="000A7C1C">
      <w:pPr>
        <w:pStyle w:val="Default"/>
        <w:jc w:val="both"/>
        <w:rPr>
          <w:color w:val="2C2D2E"/>
          <w:sz w:val="22"/>
          <w:szCs w:val="22"/>
        </w:rPr>
      </w:pPr>
      <w:r>
        <w:rPr>
          <w:color w:val="2C2D2E"/>
          <w:sz w:val="22"/>
          <w:szCs w:val="22"/>
        </w:rPr>
        <w:t xml:space="preserve">(e) an occasion of a kind prescribed for the purposes of this definition. </w:t>
      </w:r>
    </w:p>
    <w:p w14:paraId="3F7354A9" w14:textId="77777777" w:rsidR="006B16C1" w:rsidRDefault="006B16C1" w:rsidP="000A7C1C">
      <w:pPr>
        <w:pStyle w:val="Default"/>
        <w:jc w:val="both"/>
        <w:rPr>
          <w:color w:val="2C2D2E"/>
          <w:sz w:val="22"/>
          <w:szCs w:val="22"/>
        </w:rPr>
      </w:pPr>
    </w:p>
    <w:p w14:paraId="4683A65E" w14:textId="77777777" w:rsidR="00FD1F37" w:rsidRDefault="00FD1F37" w:rsidP="000A7C1C">
      <w:pPr>
        <w:pStyle w:val="Default"/>
        <w:jc w:val="both"/>
        <w:rPr>
          <w:sz w:val="22"/>
          <w:szCs w:val="22"/>
        </w:rPr>
      </w:pPr>
      <w:r>
        <w:rPr>
          <w:color w:val="2C2D2E"/>
          <w:sz w:val="22"/>
          <w:szCs w:val="22"/>
        </w:rPr>
        <w:t xml:space="preserve">(2) A local government must prepare and adopt* a policy that deals with matters relating to the attendance of MRC Councillors and the CEO at events, including — </w:t>
      </w:r>
    </w:p>
    <w:p w14:paraId="43924F39" w14:textId="77777777" w:rsidR="00FD1F37" w:rsidRDefault="00FD1F37" w:rsidP="000A7C1C">
      <w:pPr>
        <w:pStyle w:val="Default"/>
        <w:jc w:val="both"/>
        <w:rPr>
          <w:sz w:val="22"/>
          <w:szCs w:val="22"/>
        </w:rPr>
      </w:pPr>
    </w:p>
    <w:p w14:paraId="5EF606D6" w14:textId="77777777" w:rsidR="00FD1F37" w:rsidRDefault="00FD1F37" w:rsidP="000A7C1C">
      <w:pPr>
        <w:pStyle w:val="Default"/>
        <w:jc w:val="both"/>
        <w:rPr>
          <w:color w:val="2C2D2E"/>
          <w:sz w:val="22"/>
          <w:szCs w:val="22"/>
        </w:rPr>
      </w:pPr>
      <w:r>
        <w:rPr>
          <w:color w:val="2C2D2E"/>
          <w:sz w:val="22"/>
          <w:szCs w:val="22"/>
        </w:rPr>
        <w:t xml:space="preserve">(a) the provision of tickets to events; and </w:t>
      </w:r>
    </w:p>
    <w:p w14:paraId="1F712460" w14:textId="77777777" w:rsidR="00FD1F37" w:rsidRDefault="00FD1F37" w:rsidP="000A7C1C">
      <w:pPr>
        <w:pStyle w:val="Default"/>
        <w:jc w:val="both"/>
        <w:rPr>
          <w:color w:val="2C2D2E"/>
          <w:sz w:val="22"/>
          <w:szCs w:val="22"/>
        </w:rPr>
      </w:pPr>
      <w:r>
        <w:rPr>
          <w:color w:val="2C2D2E"/>
          <w:sz w:val="22"/>
          <w:szCs w:val="22"/>
        </w:rPr>
        <w:t xml:space="preserve">(b) payments in respect of attendance; and </w:t>
      </w:r>
    </w:p>
    <w:p w14:paraId="528D282D" w14:textId="77777777" w:rsidR="00FD1F37" w:rsidRDefault="00FD1F37" w:rsidP="000A7C1C">
      <w:pPr>
        <w:pStyle w:val="Default"/>
        <w:jc w:val="both"/>
        <w:rPr>
          <w:sz w:val="22"/>
          <w:szCs w:val="22"/>
        </w:rPr>
      </w:pPr>
      <w:r>
        <w:rPr>
          <w:color w:val="2C2D2E"/>
          <w:sz w:val="22"/>
          <w:szCs w:val="22"/>
        </w:rPr>
        <w:t xml:space="preserve">(c) approval of attendance by the local government and criteria for approval; and </w:t>
      </w:r>
    </w:p>
    <w:p w14:paraId="0C4B341F" w14:textId="77777777" w:rsidR="00FD1F37" w:rsidRDefault="00FD1F37" w:rsidP="000A7C1C">
      <w:pPr>
        <w:pStyle w:val="Default"/>
        <w:jc w:val="both"/>
        <w:rPr>
          <w:color w:val="2C2D2E"/>
          <w:sz w:val="22"/>
          <w:szCs w:val="22"/>
        </w:rPr>
      </w:pPr>
      <w:r>
        <w:rPr>
          <w:color w:val="2C2D2E"/>
          <w:sz w:val="22"/>
          <w:szCs w:val="22"/>
        </w:rPr>
        <w:t xml:space="preserve">(d) any prescribed matter. </w:t>
      </w:r>
    </w:p>
    <w:p w14:paraId="3C1B40B6" w14:textId="167C6CC6" w:rsidR="00FD1F37" w:rsidRPr="00F47272" w:rsidRDefault="00FD1F37" w:rsidP="000A7C1C">
      <w:pPr>
        <w:pStyle w:val="Default"/>
        <w:jc w:val="both"/>
        <w:rPr>
          <w:i/>
          <w:color w:val="2C2D2E"/>
          <w:sz w:val="20"/>
          <w:szCs w:val="20"/>
        </w:rPr>
      </w:pPr>
      <w:r w:rsidRPr="00F47272">
        <w:rPr>
          <w:i/>
          <w:color w:val="2C2D2E"/>
          <w:sz w:val="20"/>
          <w:szCs w:val="20"/>
        </w:rPr>
        <w:t xml:space="preserve">* Absolute majority required. </w:t>
      </w:r>
    </w:p>
    <w:p w14:paraId="3E65B28F" w14:textId="77777777" w:rsidR="00647AC0" w:rsidRDefault="00647AC0" w:rsidP="000A7C1C">
      <w:pPr>
        <w:pStyle w:val="Default"/>
        <w:jc w:val="both"/>
        <w:rPr>
          <w:color w:val="2C2D2E"/>
          <w:sz w:val="22"/>
          <w:szCs w:val="22"/>
        </w:rPr>
      </w:pPr>
    </w:p>
    <w:p w14:paraId="7C8E4979" w14:textId="77777777" w:rsidR="00FD1F37" w:rsidRDefault="00FD1F37" w:rsidP="000A7C1C">
      <w:pPr>
        <w:pStyle w:val="Default"/>
        <w:jc w:val="both"/>
        <w:rPr>
          <w:sz w:val="22"/>
          <w:szCs w:val="22"/>
        </w:rPr>
      </w:pPr>
      <w:r>
        <w:rPr>
          <w:color w:val="2C2D2E"/>
          <w:sz w:val="22"/>
          <w:szCs w:val="22"/>
        </w:rPr>
        <w:t xml:space="preserve">(3) A local government may amend* the policy. </w:t>
      </w:r>
    </w:p>
    <w:p w14:paraId="64BCAE30" w14:textId="5AA054E4" w:rsidR="00FD1F37" w:rsidRPr="00F47272" w:rsidRDefault="00FD1F37" w:rsidP="000A7C1C">
      <w:pPr>
        <w:pStyle w:val="Default"/>
        <w:jc w:val="both"/>
        <w:rPr>
          <w:i/>
          <w:color w:val="2C2D2E"/>
          <w:sz w:val="20"/>
          <w:szCs w:val="20"/>
        </w:rPr>
      </w:pPr>
      <w:r w:rsidRPr="00F47272">
        <w:rPr>
          <w:i/>
          <w:color w:val="2C2D2E"/>
          <w:sz w:val="20"/>
          <w:szCs w:val="20"/>
        </w:rPr>
        <w:t xml:space="preserve">* Absolute majority required. </w:t>
      </w:r>
    </w:p>
    <w:p w14:paraId="53E5A391" w14:textId="77777777" w:rsidR="00647AC0" w:rsidRDefault="00647AC0" w:rsidP="000A7C1C">
      <w:pPr>
        <w:pStyle w:val="Default"/>
        <w:jc w:val="both"/>
        <w:rPr>
          <w:color w:val="2C2D2E"/>
          <w:sz w:val="22"/>
          <w:szCs w:val="22"/>
        </w:rPr>
      </w:pPr>
    </w:p>
    <w:p w14:paraId="3573465F" w14:textId="77777777" w:rsidR="00FD1F37" w:rsidRDefault="00FD1F37" w:rsidP="000A7C1C">
      <w:pPr>
        <w:pStyle w:val="Default"/>
        <w:spacing w:after="173"/>
        <w:jc w:val="both"/>
        <w:rPr>
          <w:sz w:val="22"/>
          <w:szCs w:val="22"/>
        </w:rPr>
      </w:pPr>
      <w:r>
        <w:rPr>
          <w:color w:val="2C2D2E"/>
          <w:sz w:val="22"/>
          <w:szCs w:val="22"/>
        </w:rPr>
        <w:t xml:space="preserve">(4) When preparing the policy or an amendment to the policy, the local government must comply with any prescribed requirements relating to the form or content of a policy under this section. </w:t>
      </w:r>
    </w:p>
    <w:p w14:paraId="225F89AC" w14:textId="77777777" w:rsidR="00FD1F37" w:rsidRDefault="00FD1F37" w:rsidP="000A7C1C">
      <w:pPr>
        <w:pStyle w:val="Default"/>
        <w:jc w:val="both"/>
        <w:rPr>
          <w:sz w:val="22"/>
          <w:szCs w:val="22"/>
        </w:rPr>
      </w:pPr>
      <w:r>
        <w:rPr>
          <w:color w:val="2C2D2E"/>
          <w:sz w:val="22"/>
          <w:szCs w:val="22"/>
        </w:rPr>
        <w:t xml:space="preserve">(5) The CEO must publish an up-to-date version of the policy on the local government’s official website. </w:t>
      </w:r>
    </w:p>
    <w:p w14:paraId="4631592F" w14:textId="77777777" w:rsidR="00FD1F37" w:rsidRPr="00272C6C" w:rsidRDefault="00FD1F37" w:rsidP="000A7C1C">
      <w:pPr>
        <w:jc w:val="both"/>
        <w:rPr>
          <w:color w:val="2C2D2E"/>
        </w:rPr>
      </w:pPr>
    </w:p>
    <w:p w14:paraId="6E3747C6" w14:textId="77777777" w:rsidR="009E5317" w:rsidRDefault="009E5317" w:rsidP="000A7C1C">
      <w:pPr>
        <w:jc w:val="both"/>
        <w:rPr>
          <w:rFonts w:cs="Arial"/>
        </w:rPr>
      </w:pPr>
    </w:p>
    <w:p w14:paraId="59C95FC1" w14:textId="00420315" w:rsidR="00F6059E" w:rsidRDefault="00F6059E" w:rsidP="000A7C1C">
      <w:pPr>
        <w:jc w:val="both"/>
        <w:rPr>
          <w:rFonts w:cs="Arial"/>
        </w:rPr>
      </w:pPr>
    </w:p>
    <w:p w14:paraId="7F7CFBB7" w14:textId="3CC59812" w:rsidR="005733C2" w:rsidRDefault="005733C2" w:rsidP="000A7C1C">
      <w:pPr>
        <w:jc w:val="both"/>
        <w:rPr>
          <w:rFonts w:cs="Arial"/>
        </w:rPr>
      </w:pPr>
    </w:p>
    <w:p w14:paraId="0367C548" w14:textId="3E9DDFB4" w:rsidR="005733C2" w:rsidRDefault="005733C2" w:rsidP="000A7C1C">
      <w:pPr>
        <w:jc w:val="both"/>
        <w:rPr>
          <w:rFonts w:cs="Arial"/>
        </w:rPr>
      </w:pPr>
    </w:p>
    <w:p w14:paraId="499BE07F" w14:textId="0C62195A" w:rsidR="005733C2" w:rsidRDefault="005733C2" w:rsidP="000A7C1C">
      <w:pPr>
        <w:jc w:val="both"/>
        <w:rPr>
          <w:rFonts w:cs="Arial"/>
        </w:rPr>
      </w:pPr>
    </w:p>
    <w:p w14:paraId="2A734FAA" w14:textId="6EFBDA2A" w:rsidR="005733C2" w:rsidRDefault="005733C2" w:rsidP="000A7C1C">
      <w:pPr>
        <w:jc w:val="both"/>
        <w:rPr>
          <w:rFonts w:cs="Arial"/>
        </w:rPr>
      </w:pPr>
    </w:p>
    <w:p w14:paraId="4EED760B" w14:textId="68B5B6FF" w:rsidR="005733C2" w:rsidRDefault="005733C2" w:rsidP="000A7C1C">
      <w:pPr>
        <w:jc w:val="both"/>
        <w:rPr>
          <w:rFonts w:cs="Arial"/>
        </w:rPr>
      </w:pPr>
    </w:p>
    <w:p w14:paraId="1E3A42B6" w14:textId="4D762821" w:rsidR="005733C2" w:rsidRDefault="005733C2" w:rsidP="000A7C1C">
      <w:pPr>
        <w:jc w:val="both"/>
        <w:rPr>
          <w:rFonts w:cs="Arial"/>
        </w:rPr>
      </w:pPr>
    </w:p>
    <w:p w14:paraId="48EE6A75" w14:textId="77777777" w:rsidR="005733C2" w:rsidRPr="009E5317" w:rsidRDefault="005733C2" w:rsidP="000A7C1C">
      <w:pPr>
        <w:jc w:val="both"/>
        <w:rPr>
          <w:rFonts w:cs="Arial"/>
        </w:rPr>
      </w:pPr>
    </w:p>
    <w:p w14:paraId="1D6B4D73" w14:textId="77777777" w:rsidR="00BC052C" w:rsidRDefault="00BC052C" w:rsidP="000A7C1C">
      <w:pPr>
        <w:jc w:val="both"/>
        <w:rPr>
          <w:rFonts w:cs="Arial"/>
          <w:b/>
        </w:rPr>
      </w:pPr>
    </w:p>
    <w:p w14:paraId="3887028E" w14:textId="77777777" w:rsidR="00BC052C" w:rsidRPr="00C85B66" w:rsidRDefault="00BC052C" w:rsidP="000A7C1C">
      <w:pPr>
        <w:jc w:val="both"/>
        <w:rPr>
          <w:rFonts w:cs="Arial"/>
          <w:b/>
        </w:rPr>
      </w:pPr>
      <w:r w:rsidRPr="00C85B66">
        <w:rPr>
          <w:b/>
          <w:bCs/>
          <w:sz w:val="26"/>
          <w:szCs w:val="26"/>
        </w:rPr>
        <w:t>1. Invitations</w:t>
      </w:r>
    </w:p>
    <w:p w14:paraId="2E79C9E5" w14:textId="77777777" w:rsidR="006B16C1" w:rsidRDefault="00BC052C" w:rsidP="000A7C1C">
      <w:pPr>
        <w:pStyle w:val="Default"/>
        <w:spacing w:after="53"/>
        <w:ind w:left="709" w:hanging="709"/>
        <w:jc w:val="both"/>
        <w:rPr>
          <w:sz w:val="22"/>
          <w:szCs w:val="22"/>
        </w:rPr>
      </w:pPr>
      <w:r>
        <w:rPr>
          <w:color w:val="2C2D2E"/>
          <w:sz w:val="22"/>
          <w:szCs w:val="22"/>
        </w:rPr>
        <w:t xml:space="preserve">1.1 </w:t>
      </w:r>
      <w:r>
        <w:rPr>
          <w:color w:val="2C2D2E"/>
          <w:sz w:val="22"/>
          <w:szCs w:val="22"/>
        </w:rPr>
        <w:tab/>
      </w:r>
      <w:r w:rsidR="006B16C1">
        <w:rPr>
          <w:color w:val="2C2D2E"/>
          <w:sz w:val="22"/>
          <w:szCs w:val="22"/>
        </w:rPr>
        <w:t>All invitations or offers of tickets for a MRC Councillor</w:t>
      </w:r>
      <w:r w:rsidR="00980D3D">
        <w:rPr>
          <w:color w:val="2C2D2E"/>
          <w:sz w:val="22"/>
          <w:szCs w:val="22"/>
        </w:rPr>
        <w:t xml:space="preserve"> or </w:t>
      </w:r>
      <w:r w:rsidR="006B16C1">
        <w:rPr>
          <w:color w:val="2C2D2E"/>
          <w:sz w:val="22"/>
          <w:szCs w:val="22"/>
        </w:rPr>
        <w:t>CEO to attend an event should be in writing and addressed to the Mindarie Regional Council.</w:t>
      </w:r>
    </w:p>
    <w:p w14:paraId="11431489" w14:textId="77777777" w:rsidR="00BC052C" w:rsidRDefault="00BC052C" w:rsidP="000A7C1C">
      <w:pPr>
        <w:pStyle w:val="Default"/>
        <w:spacing w:after="53"/>
        <w:ind w:left="709" w:hanging="709"/>
        <w:jc w:val="both"/>
        <w:rPr>
          <w:color w:val="2C2D2E"/>
          <w:sz w:val="22"/>
          <w:szCs w:val="22"/>
        </w:rPr>
      </w:pPr>
      <w:r>
        <w:rPr>
          <w:color w:val="2C2D2E"/>
          <w:sz w:val="22"/>
          <w:szCs w:val="22"/>
        </w:rPr>
        <w:t xml:space="preserve">1.2 </w:t>
      </w:r>
      <w:r>
        <w:rPr>
          <w:color w:val="2C2D2E"/>
          <w:sz w:val="22"/>
          <w:szCs w:val="22"/>
        </w:rPr>
        <w:tab/>
        <w:t>Any invitation or offer of tickets not addressed to the Mindarie Regional Council is not</w:t>
      </w:r>
      <w:r w:rsidR="000C0401">
        <w:rPr>
          <w:color w:val="2C2D2E"/>
          <w:sz w:val="22"/>
          <w:szCs w:val="22"/>
        </w:rPr>
        <w:t xml:space="preserve"> </w:t>
      </w:r>
      <w:r w:rsidR="000C0401">
        <w:rPr>
          <w:color w:val="2C2D2E"/>
          <w:sz w:val="22"/>
          <w:szCs w:val="22"/>
        </w:rPr>
        <w:tab/>
      </w:r>
      <w:r>
        <w:rPr>
          <w:color w:val="2C2D2E"/>
          <w:sz w:val="22"/>
          <w:szCs w:val="22"/>
        </w:rPr>
        <w:t xml:space="preserve">captured by this policy and must be disclosed in accordance with the gift and interest </w:t>
      </w:r>
      <w:r w:rsidR="00C85B66">
        <w:rPr>
          <w:color w:val="2C2D2E"/>
          <w:sz w:val="22"/>
          <w:szCs w:val="22"/>
        </w:rPr>
        <w:tab/>
      </w:r>
      <w:r>
        <w:rPr>
          <w:color w:val="2C2D2E"/>
          <w:sz w:val="22"/>
          <w:szCs w:val="22"/>
        </w:rPr>
        <w:t xml:space="preserve">provisions in the Act. </w:t>
      </w:r>
    </w:p>
    <w:p w14:paraId="5577840A" w14:textId="77777777" w:rsidR="006B16C1" w:rsidRPr="00980D3D" w:rsidRDefault="006B16C1" w:rsidP="000A7C1C">
      <w:pPr>
        <w:pStyle w:val="Default"/>
        <w:spacing w:after="53"/>
        <w:ind w:left="709" w:hanging="709"/>
        <w:jc w:val="both"/>
        <w:rPr>
          <w:color w:val="2C2D2E"/>
          <w:sz w:val="22"/>
          <w:szCs w:val="22"/>
        </w:rPr>
      </w:pPr>
      <w:r>
        <w:rPr>
          <w:color w:val="2C2D2E"/>
          <w:sz w:val="22"/>
          <w:szCs w:val="22"/>
        </w:rPr>
        <w:t xml:space="preserve">1.3     </w:t>
      </w:r>
      <w:r w:rsidR="00980D3D">
        <w:rPr>
          <w:color w:val="2C2D2E"/>
          <w:sz w:val="22"/>
          <w:szCs w:val="22"/>
        </w:rPr>
        <w:t xml:space="preserve"> A</w:t>
      </w:r>
      <w:r w:rsidRPr="00980D3D">
        <w:rPr>
          <w:sz w:val="22"/>
          <w:szCs w:val="22"/>
        </w:rPr>
        <w:t xml:space="preserve"> list of events and attendees authorised by the local government in advance</w:t>
      </w:r>
      <w:r w:rsidR="000A7C1C" w:rsidRPr="00980D3D">
        <w:rPr>
          <w:sz w:val="22"/>
          <w:szCs w:val="22"/>
        </w:rPr>
        <w:t xml:space="preserve"> of   </w:t>
      </w:r>
      <w:r w:rsidRPr="00980D3D">
        <w:rPr>
          <w:sz w:val="22"/>
          <w:szCs w:val="22"/>
        </w:rPr>
        <w:t>the event is at Attachment A</w:t>
      </w:r>
    </w:p>
    <w:p w14:paraId="65115D48" w14:textId="77777777" w:rsidR="00BC052C" w:rsidRDefault="00BC052C" w:rsidP="000A7C1C">
      <w:pPr>
        <w:pStyle w:val="Default"/>
        <w:jc w:val="both"/>
        <w:rPr>
          <w:sz w:val="22"/>
          <w:szCs w:val="22"/>
        </w:rPr>
      </w:pPr>
    </w:p>
    <w:p w14:paraId="66347157" w14:textId="77777777" w:rsidR="00357D26" w:rsidRDefault="00BC052C" w:rsidP="000A7C1C">
      <w:pPr>
        <w:pStyle w:val="Default"/>
        <w:jc w:val="both"/>
        <w:rPr>
          <w:b/>
          <w:bCs/>
          <w:color w:val="auto"/>
          <w:sz w:val="26"/>
          <w:szCs w:val="26"/>
        </w:rPr>
      </w:pPr>
      <w:r w:rsidRPr="000C0401">
        <w:rPr>
          <w:b/>
          <w:bCs/>
          <w:color w:val="auto"/>
          <w:sz w:val="26"/>
          <w:szCs w:val="26"/>
        </w:rPr>
        <w:t>2</w:t>
      </w:r>
      <w:r w:rsidR="000C0401" w:rsidRPr="000C0401">
        <w:rPr>
          <w:b/>
          <w:bCs/>
          <w:color w:val="auto"/>
          <w:sz w:val="26"/>
          <w:szCs w:val="26"/>
        </w:rPr>
        <w:t>.</w:t>
      </w:r>
      <w:r w:rsidRPr="000C0401">
        <w:rPr>
          <w:b/>
          <w:bCs/>
          <w:color w:val="auto"/>
          <w:sz w:val="26"/>
          <w:szCs w:val="26"/>
        </w:rPr>
        <w:t xml:space="preserve"> Approval of attendance</w:t>
      </w:r>
    </w:p>
    <w:p w14:paraId="04ECFCD0" w14:textId="77777777" w:rsidR="006B16C1" w:rsidRDefault="00357D26" w:rsidP="000A7C1C">
      <w:pPr>
        <w:jc w:val="both"/>
        <w:rPr>
          <w:rFonts w:cs="Arial"/>
        </w:rPr>
      </w:pPr>
      <w:r w:rsidRPr="00357D26">
        <w:rPr>
          <w:bCs/>
        </w:rPr>
        <w:t>2.1</w:t>
      </w:r>
      <w:r>
        <w:rPr>
          <w:bCs/>
        </w:rPr>
        <w:tab/>
      </w:r>
      <w:r w:rsidR="006B16C1" w:rsidRPr="00F47A42">
        <w:rPr>
          <w:rFonts w:cs="Arial"/>
        </w:rPr>
        <w:t xml:space="preserve">In making a decision on attendance at an event, the council will consider: </w:t>
      </w:r>
    </w:p>
    <w:p w14:paraId="12AB61C0" w14:textId="77777777" w:rsidR="006B16C1" w:rsidRDefault="006B16C1" w:rsidP="000A7C1C">
      <w:pPr>
        <w:jc w:val="both"/>
        <w:rPr>
          <w:rFonts w:cs="Arial"/>
        </w:rPr>
      </w:pPr>
      <w:r>
        <w:rPr>
          <w:rFonts w:cs="Arial"/>
        </w:rPr>
        <w:tab/>
        <w:t xml:space="preserve">  </w:t>
      </w:r>
      <w:r w:rsidRPr="00F47A42">
        <w:rPr>
          <w:rFonts w:cs="Arial"/>
        </w:rPr>
        <w:t xml:space="preserve">a) who is providing the invitation or ticket to the event, </w:t>
      </w:r>
    </w:p>
    <w:p w14:paraId="53D1C057" w14:textId="6E2A74A7" w:rsidR="006B16C1" w:rsidRDefault="006B16C1" w:rsidP="000A7C1C">
      <w:pPr>
        <w:ind w:left="1134" w:hanging="425"/>
        <w:jc w:val="both"/>
        <w:rPr>
          <w:rFonts w:cs="Arial"/>
        </w:rPr>
      </w:pPr>
      <w:r>
        <w:rPr>
          <w:rFonts w:cs="Arial"/>
        </w:rPr>
        <w:t xml:space="preserve">  </w:t>
      </w:r>
      <w:r w:rsidRPr="00F47A42">
        <w:rPr>
          <w:rFonts w:cs="Arial"/>
        </w:rPr>
        <w:t xml:space="preserve">b) the location of the event in relation to the local government (within the district </w:t>
      </w:r>
      <w:r w:rsidR="00063473" w:rsidRPr="00F47A42">
        <w:rPr>
          <w:rFonts w:cs="Arial"/>
        </w:rPr>
        <w:t xml:space="preserve">or </w:t>
      </w:r>
      <w:r w:rsidR="00063473">
        <w:rPr>
          <w:rFonts w:cs="Arial"/>
        </w:rPr>
        <w:t>out</w:t>
      </w:r>
      <w:r w:rsidRPr="00F47A42">
        <w:rPr>
          <w:rFonts w:cs="Arial"/>
        </w:rPr>
        <w:t xml:space="preserve"> of the district), </w:t>
      </w:r>
    </w:p>
    <w:p w14:paraId="30CCAF49" w14:textId="77777777" w:rsidR="006B16C1" w:rsidRDefault="006B16C1" w:rsidP="000A7C1C">
      <w:pPr>
        <w:ind w:left="1134" w:hanging="283"/>
        <w:jc w:val="both"/>
        <w:rPr>
          <w:rFonts w:cs="Arial"/>
        </w:rPr>
      </w:pPr>
      <w:r w:rsidRPr="00F47A42">
        <w:rPr>
          <w:rFonts w:cs="Arial"/>
        </w:rPr>
        <w:t xml:space="preserve">c) the role of the </w:t>
      </w:r>
      <w:r w:rsidR="00980D3D">
        <w:rPr>
          <w:rFonts w:cs="Arial"/>
        </w:rPr>
        <w:t>MRC Councillor</w:t>
      </w:r>
      <w:r w:rsidRPr="00F47A42">
        <w:rPr>
          <w:rFonts w:cs="Arial"/>
        </w:rPr>
        <w:t xml:space="preserve"> or CEO when attending the event (participant, observer, presenter) and the value of their contribution, </w:t>
      </w:r>
    </w:p>
    <w:p w14:paraId="376D49A7" w14:textId="77777777" w:rsidR="006B16C1" w:rsidRDefault="000A7C1C" w:rsidP="000A7C1C">
      <w:pPr>
        <w:ind w:left="851" w:hanging="567"/>
        <w:jc w:val="both"/>
        <w:rPr>
          <w:rFonts w:cs="Arial"/>
        </w:rPr>
      </w:pPr>
      <w:r>
        <w:rPr>
          <w:rFonts w:cs="Arial"/>
        </w:rPr>
        <w:t xml:space="preserve">         </w:t>
      </w:r>
      <w:r w:rsidR="006B16C1" w:rsidRPr="00F47A42">
        <w:rPr>
          <w:rFonts w:cs="Arial"/>
        </w:rPr>
        <w:t xml:space="preserve">d) whether the event is sponsored by the local government, </w:t>
      </w:r>
    </w:p>
    <w:p w14:paraId="76AF661A" w14:textId="77777777" w:rsidR="006B16C1" w:rsidRDefault="006B16C1" w:rsidP="000A7C1C">
      <w:pPr>
        <w:ind w:left="851" w:hanging="567"/>
        <w:jc w:val="both"/>
        <w:rPr>
          <w:rFonts w:cs="Arial"/>
        </w:rPr>
      </w:pPr>
      <w:r>
        <w:rPr>
          <w:rFonts w:cs="Arial"/>
        </w:rPr>
        <w:tab/>
      </w:r>
      <w:r w:rsidRPr="00F47A42">
        <w:rPr>
          <w:rFonts w:cs="Arial"/>
        </w:rPr>
        <w:t xml:space="preserve">e) the benefit of local government representation at the event, </w:t>
      </w:r>
    </w:p>
    <w:p w14:paraId="41ECFCDD" w14:textId="77777777" w:rsidR="006B16C1" w:rsidRDefault="006B16C1" w:rsidP="000A7C1C">
      <w:pPr>
        <w:ind w:left="851" w:hanging="567"/>
        <w:jc w:val="both"/>
        <w:rPr>
          <w:rFonts w:cs="Arial"/>
        </w:rPr>
      </w:pPr>
      <w:r>
        <w:rPr>
          <w:rFonts w:cs="Arial"/>
        </w:rPr>
        <w:tab/>
      </w:r>
      <w:r w:rsidRPr="00F47A42">
        <w:rPr>
          <w:rFonts w:cs="Arial"/>
        </w:rPr>
        <w:t xml:space="preserve">f) the number of invitations / tickets received, and </w:t>
      </w:r>
    </w:p>
    <w:p w14:paraId="3BAD8938" w14:textId="77777777" w:rsidR="006B16C1" w:rsidRDefault="006B16C1" w:rsidP="000A7C1C">
      <w:pPr>
        <w:ind w:left="709" w:hanging="142"/>
        <w:jc w:val="both"/>
        <w:rPr>
          <w:rFonts w:cs="Arial"/>
        </w:rPr>
      </w:pPr>
      <w:r>
        <w:rPr>
          <w:rFonts w:cs="Arial"/>
        </w:rPr>
        <w:tab/>
      </w:r>
      <w:r w:rsidR="000A7C1C">
        <w:rPr>
          <w:rFonts w:cs="Arial"/>
        </w:rPr>
        <w:t xml:space="preserve"> </w:t>
      </w:r>
      <w:r w:rsidR="00980D3D">
        <w:rPr>
          <w:rFonts w:cs="Arial"/>
        </w:rPr>
        <w:t xml:space="preserve"> </w:t>
      </w:r>
      <w:r w:rsidRPr="00F47A42">
        <w:rPr>
          <w:rFonts w:cs="Arial"/>
        </w:rPr>
        <w:t xml:space="preserve">g) the cost to attend the event, including the cost of the ticket (or estimated value of </w:t>
      </w:r>
      <w:r w:rsidR="000A7C1C">
        <w:rPr>
          <w:rFonts w:cs="Arial"/>
        </w:rPr>
        <w:tab/>
        <w:t xml:space="preserve">     </w:t>
      </w:r>
      <w:r w:rsidRPr="00F47A42">
        <w:rPr>
          <w:rFonts w:cs="Arial"/>
        </w:rPr>
        <w:t>the event per invitation) and any other expenses such as travel and</w:t>
      </w:r>
      <w:r w:rsidR="00980D3D">
        <w:rPr>
          <w:rFonts w:cs="Arial"/>
        </w:rPr>
        <w:t xml:space="preserve"> accommodation.</w:t>
      </w:r>
      <w:r w:rsidR="000A7C1C">
        <w:rPr>
          <w:rFonts w:cs="Arial"/>
        </w:rPr>
        <w:t xml:space="preserve">     </w:t>
      </w:r>
      <w:r w:rsidR="00980D3D">
        <w:rPr>
          <w:rFonts w:cs="Arial"/>
        </w:rPr>
        <w:t xml:space="preserve">  </w:t>
      </w:r>
    </w:p>
    <w:p w14:paraId="0B760882" w14:textId="77777777" w:rsidR="00F95A2E" w:rsidRDefault="00F95A2E" w:rsidP="000A7C1C">
      <w:pPr>
        <w:pStyle w:val="Default"/>
        <w:jc w:val="both"/>
        <w:rPr>
          <w:b/>
          <w:lang w:val="en-US"/>
        </w:rPr>
      </w:pPr>
    </w:p>
    <w:p w14:paraId="4A310A90" w14:textId="77777777" w:rsidR="00745245" w:rsidRDefault="008F6124" w:rsidP="000A7C1C">
      <w:pPr>
        <w:pStyle w:val="Default"/>
        <w:jc w:val="both"/>
        <w:rPr>
          <w:color w:val="2C2D2E"/>
          <w:sz w:val="22"/>
          <w:szCs w:val="22"/>
        </w:rPr>
      </w:pPr>
      <w:r>
        <w:rPr>
          <w:color w:val="2C2D2E"/>
          <w:sz w:val="22"/>
          <w:szCs w:val="22"/>
        </w:rPr>
        <w:t xml:space="preserve">2.2 </w:t>
      </w:r>
      <w:r w:rsidR="00357D26">
        <w:rPr>
          <w:color w:val="2C2D2E"/>
          <w:sz w:val="22"/>
          <w:szCs w:val="22"/>
        </w:rPr>
        <w:tab/>
      </w:r>
      <w:r>
        <w:rPr>
          <w:color w:val="2C2D2E"/>
          <w:sz w:val="22"/>
          <w:szCs w:val="22"/>
        </w:rPr>
        <w:t xml:space="preserve">Decisions to attend events in accordance with this policy will be made by simple </w:t>
      </w:r>
      <w:r w:rsidR="00357D26">
        <w:rPr>
          <w:color w:val="2C2D2E"/>
          <w:sz w:val="22"/>
          <w:szCs w:val="22"/>
        </w:rPr>
        <w:tab/>
      </w:r>
      <w:r>
        <w:rPr>
          <w:color w:val="2C2D2E"/>
          <w:sz w:val="22"/>
          <w:szCs w:val="22"/>
        </w:rPr>
        <w:t xml:space="preserve">majority </w:t>
      </w:r>
      <w:r w:rsidRPr="00655181">
        <w:rPr>
          <w:color w:val="2C2D2E"/>
          <w:sz w:val="22"/>
          <w:szCs w:val="22"/>
        </w:rPr>
        <w:t>or by the CEO in accordance with any authorisation provided in this policy.</w:t>
      </w:r>
    </w:p>
    <w:p w14:paraId="566F1E03" w14:textId="77777777" w:rsidR="00745245" w:rsidRDefault="00745245" w:rsidP="000A7C1C">
      <w:pPr>
        <w:pStyle w:val="Default"/>
        <w:jc w:val="both"/>
        <w:rPr>
          <w:color w:val="2C2D2E"/>
          <w:sz w:val="22"/>
          <w:szCs w:val="22"/>
        </w:rPr>
      </w:pPr>
    </w:p>
    <w:p w14:paraId="7FDF41E9" w14:textId="3ABA2169" w:rsidR="00561789" w:rsidRDefault="00357D26" w:rsidP="000A7C1C">
      <w:pPr>
        <w:pStyle w:val="Default"/>
        <w:jc w:val="both"/>
        <w:rPr>
          <w:color w:val="2C2D2E"/>
          <w:sz w:val="22"/>
          <w:szCs w:val="22"/>
        </w:rPr>
      </w:pPr>
      <w:r>
        <w:rPr>
          <w:color w:val="2C2D2E"/>
          <w:sz w:val="22"/>
          <w:szCs w:val="22"/>
        </w:rPr>
        <w:t xml:space="preserve">2.3 </w:t>
      </w:r>
      <w:r>
        <w:rPr>
          <w:color w:val="2C2D2E"/>
          <w:sz w:val="22"/>
          <w:szCs w:val="22"/>
        </w:rPr>
        <w:tab/>
      </w:r>
      <w:r w:rsidR="00561789">
        <w:rPr>
          <w:color w:val="2C2D2E"/>
          <w:sz w:val="22"/>
          <w:szCs w:val="22"/>
        </w:rPr>
        <w:t xml:space="preserve">The CEO must report to Council annually of all decisions to approve or refuse </w:t>
      </w:r>
      <w:r w:rsidR="00793CAE">
        <w:rPr>
          <w:color w:val="2C2D2E"/>
          <w:sz w:val="22"/>
          <w:szCs w:val="22"/>
        </w:rPr>
        <w:t xml:space="preserve">MRC </w:t>
      </w:r>
      <w:r>
        <w:rPr>
          <w:color w:val="2C2D2E"/>
          <w:sz w:val="22"/>
          <w:szCs w:val="22"/>
        </w:rPr>
        <w:tab/>
      </w:r>
      <w:r w:rsidR="00793CAE">
        <w:rPr>
          <w:color w:val="2C2D2E"/>
          <w:sz w:val="22"/>
          <w:szCs w:val="22"/>
        </w:rPr>
        <w:t xml:space="preserve">Councillors, CEO </w:t>
      </w:r>
      <w:r w:rsidR="00561789">
        <w:rPr>
          <w:color w:val="2C2D2E"/>
          <w:sz w:val="22"/>
          <w:szCs w:val="22"/>
        </w:rPr>
        <w:t xml:space="preserve">attendance at Events that are not Pre-Approved </w:t>
      </w:r>
      <w:r w:rsidR="00793CAE">
        <w:rPr>
          <w:color w:val="2C2D2E"/>
          <w:sz w:val="22"/>
          <w:szCs w:val="22"/>
        </w:rPr>
        <w:tab/>
      </w:r>
      <w:r w:rsidR="00561789">
        <w:rPr>
          <w:color w:val="2C2D2E"/>
          <w:sz w:val="22"/>
          <w:szCs w:val="22"/>
        </w:rPr>
        <w:t xml:space="preserve">Events </w:t>
      </w:r>
      <w:r w:rsidR="00980D3D">
        <w:rPr>
          <w:color w:val="2C2D2E"/>
          <w:sz w:val="22"/>
          <w:szCs w:val="22"/>
        </w:rPr>
        <w:tab/>
      </w:r>
      <w:r w:rsidR="00561789">
        <w:rPr>
          <w:color w:val="2C2D2E"/>
          <w:sz w:val="22"/>
          <w:szCs w:val="22"/>
        </w:rPr>
        <w:t xml:space="preserve">in </w:t>
      </w:r>
      <w:r w:rsidR="00737940">
        <w:rPr>
          <w:color w:val="2C2D2E"/>
          <w:sz w:val="22"/>
          <w:szCs w:val="22"/>
        </w:rPr>
        <w:t>accordance with this policy.</w:t>
      </w:r>
    </w:p>
    <w:p w14:paraId="32F08C45" w14:textId="77777777" w:rsidR="00737940" w:rsidRDefault="00737940" w:rsidP="000A7C1C">
      <w:pPr>
        <w:pStyle w:val="Default"/>
        <w:jc w:val="both"/>
        <w:rPr>
          <w:color w:val="2C2D2E"/>
          <w:sz w:val="22"/>
          <w:szCs w:val="22"/>
        </w:rPr>
      </w:pPr>
    </w:p>
    <w:p w14:paraId="5141FA06" w14:textId="77777777" w:rsidR="003C4481" w:rsidRPr="000A7C1C" w:rsidRDefault="003C4481" w:rsidP="000A7C1C">
      <w:pPr>
        <w:pStyle w:val="Default"/>
        <w:spacing w:after="53"/>
        <w:jc w:val="both"/>
        <w:rPr>
          <w:sz w:val="26"/>
          <w:szCs w:val="26"/>
        </w:rPr>
      </w:pPr>
    </w:p>
    <w:p w14:paraId="6B21928A" w14:textId="77777777" w:rsidR="006B16C1" w:rsidRPr="000A7C1C" w:rsidRDefault="006B16C1" w:rsidP="000A7C1C">
      <w:pPr>
        <w:jc w:val="both"/>
        <w:rPr>
          <w:rFonts w:cs="Arial"/>
          <w:b/>
          <w:sz w:val="26"/>
          <w:szCs w:val="26"/>
        </w:rPr>
      </w:pPr>
      <w:r w:rsidRPr="000A7C1C">
        <w:rPr>
          <w:rFonts w:cs="Arial"/>
          <w:b/>
          <w:sz w:val="26"/>
          <w:szCs w:val="26"/>
        </w:rPr>
        <w:t xml:space="preserve">Payments in respect of attendance </w:t>
      </w:r>
    </w:p>
    <w:p w14:paraId="01FFBA96" w14:textId="77777777" w:rsidR="006B16C1" w:rsidRDefault="006B16C1" w:rsidP="000A7C1C">
      <w:pPr>
        <w:jc w:val="both"/>
        <w:rPr>
          <w:rFonts w:cs="Arial"/>
        </w:rPr>
      </w:pPr>
      <w:r w:rsidRPr="00F47A42">
        <w:rPr>
          <w:rFonts w:cs="Arial"/>
        </w:rPr>
        <w:t xml:space="preserve">3.1 </w:t>
      </w:r>
      <w:r>
        <w:rPr>
          <w:rFonts w:cs="Arial"/>
        </w:rPr>
        <w:tab/>
      </w:r>
      <w:r w:rsidRPr="00F47A42">
        <w:rPr>
          <w:rFonts w:cs="Arial"/>
        </w:rPr>
        <w:t xml:space="preserve">Where an invitation or ticket to an event is provided free of charge, the local </w:t>
      </w:r>
      <w:r>
        <w:rPr>
          <w:rFonts w:cs="Arial"/>
        </w:rPr>
        <w:tab/>
      </w:r>
      <w:r w:rsidRPr="00F47A42">
        <w:rPr>
          <w:rFonts w:cs="Arial"/>
        </w:rPr>
        <w:t xml:space="preserve">government may contribute to appropriate expenses for attendance, such as travel </w:t>
      </w:r>
      <w:r>
        <w:rPr>
          <w:rFonts w:cs="Arial"/>
        </w:rPr>
        <w:tab/>
      </w:r>
      <w:r w:rsidRPr="00F47A42">
        <w:rPr>
          <w:rFonts w:cs="Arial"/>
        </w:rPr>
        <w:t xml:space="preserve">and accommodation, for events outside the district if the council determine </w:t>
      </w:r>
      <w:r>
        <w:rPr>
          <w:rFonts w:cs="Arial"/>
        </w:rPr>
        <w:tab/>
      </w:r>
      <w:r>
        <w:rPr>
          <w:rFonts w:cs="Arial"/>
        </w:rPr>
        <w:tab/>
      </w:r>
      <w:r w:rsidRPr="00F47A42">
        <w:rPr>
          <w:rFonts w:cs="Arial"/>
        </w:rPr>
        <w:t xml:space="preserve">attendance to be of public value.  </w:t>
      </w:r>
    </w:p>
    <w:p w14:paraId="4AA5C91C" w14:textId="12A7AE27" w:rsidR="006B16C1" w:rsidRDefault="006B16C1" w:rsidP="000A7C1C">
      <w:pPr>
        <w:jc w:val="both"/>
        <w:rPr>
          <w:rFonts w:cs="Arial"/>
        </w:rPr>
      </w:pPr>
      <w:r w:rsidRPr="00F47A42">
        <w:rPr>
          <w:rFonts w:cs="Arial"/>
        </w:rPr>
        <w:t xml:space="preserve">3.2 </w:t>
      </w:r>
      <w:r>
        <w:rPr>
          <w:rFonts w:cs="Arial"/>
        </w:rPr>
        <w:tab/>
      </w:r>
      <w:r w:rsidRPr="00F47A42">
        <w:rPr>
          <w:rFonts w:cs="Arial"/>
        </w:rPr>
        <w:t xml:space="preserve">For any events where a member of the public is required to pay, unless previously </w:t>
      </w:r>
      <w:r>
        <w:rPr>
          <w:rFonts w:cs="Arial"/>
        </w:rPr>
        <w:tab/>
      </w:r>
      <w:r w:rsidRPr="00F47A42">
        <w:rPr>
          <w:rFonts w:cs="Arial"/>
        </w:rPr>
        <w:t xml:space="preserve">approved and listed in Attachment A, the council will determine whether it is in the </w:t>
      </w:r>
      <w:r>
        <w:rPr>
          <w:rFonts w:cs="Arial"/>
        </w:rPr>
        <w:tab/>
      </w:r>
      <w:r w:rsidRPr="00F47A42">
        <w:rPr>
          <w:rFonts w:cs="Arial"/>
        </w:rPr>
        <w:t xml:space="preserve">best interests of the local government for a council member or the CEO to attend on behalf of the council. </w:t>
      </w:r>
    </w:p>
    <w:p w14:paraId="55210EFD" w14:textId="77777777" w:rsidR="006B16C1" w:rsidRDefault="006B16C1" w:rsidP="000A7C1C">
      <w:pPr>
        <w:jc w:val="both"/>
        <w:rPr>
          <w:rFonts w:cs="Arial"/>
        </w:rPr>
      </w:pPr>
      <w:r w:rsidRPr="00F47A42">
        <w:rPr>
          <w:rFonts w:cs="Arial"/>
        </w:rPr>
        <w:t xml:space="preserve">3.3 </w:t>
      </w:r>
      <w:r>
        <w:rPr>
          <w:rFonts w:cs="Arial"/>
        </w:rPr>
        <w:tab/>
      </w:r>
      <w:r w:rsidRPr="00F47A42">
        <w:rPr>
          <w:rFonts w:cs="Arial"/>
        </w:rPr>
        <w:t xml:space="preserve">If the council determines that a council member or CEO should attend a paid event, </w:t>
      </w:r>
      <w:r>
        <w:rPr>
          <w:rFonts w:cs="Arial"/>
        </w:rPr>
        <w:tab/>
      </w:r>
      <w:r w:rsidRPr="00F47A42">
        <w:rPr>
          <w:rFonts w:cs="Arial"/>
        </w:rPr>
        <w:t xml:space="preserve">the local government will pay the cost of attendance and reasonable expenses, such </w:t>
      </w:r>
      <w:r>
        <w:rPr>
          <w:rFonts w:cs="Arial"/>
        </w:rPr>
        <w:tab/>
      </w:r>
      <w:r w:rsidRPr="00F47A42">
        <w:rPr>
          <w:rFonts w:cs="Arial"/>
        </w:rPr>
        <w:t xml:space="preserve">as travel and accommodation. </w:t>
      </w:r>
    </w:p>
    <w:p w14:paraId="7048EC41" w14:textId="77777777" w:rsidR="006B16C1" w:rsidRPr="00F47A42" w:rsidRDefault="006B16C1" w:rsidP="000A7C1C">
      <w:pPr>
        <w:jc w:val="both"/>
        <w:rPr>
          <w:rFonts w:cs="Arial"/>
        </w:rPr>
      </w:pPr>
      <w:r w:rsidRPr="00F47A42">
        <w:rPr>
          <w:rFonts w:cs="Arial"/>
        </w:rPr>
        <w:t xml:space="preserve">3.4 </w:t>
      </w:r>
      <w:r>
        <w:rPr>
          <w:rFonts w:cs="Arial"/>
        </w:rPr>
        <w:tab/>
      </w:r>
      <w:r w:rsidRPr="00F47A42">
        <w:rPr>
          <w:rFonts w:cs="Arial"/>
        </w:rPr>
        <w:t xml:space="preserve">Where partners of an authorised local government representative attend an event, </w:t>
      </w:r>
      <w:r>
        <w:rPr>
          <w:rFonts w:cs="Arial"/>
        </w:rPr>
        <w:tab/>
      </w:r>
      <w:r w:rsidRPr="00F47A42">
        <w:rPr>
          <w:rFonts w:cs="Arial"/>
        </w:rPr>
        <w:t xml:space="preserve">any tickets for that person, if paid for by the local government, must be reimbursed by </w:t>
      </w:r>
      <w:r>
        <w:rPr>
          <w:rFonts w:cs="Arial"/>
        </w:rPr>
        <w:tab/>
      </w:r>
      <w:r w:rsidRPr="00F47A42">
        <w:rPr>
          <w:rFonts w:cs="Arial"/>
        </w:rPr>
        <w:t xml:space="preserve">the representative unless expressly authorised by the council. </w:t>
      </w:r>
    </w:p>
    <w:p w14:paraId="389C6C7B" w14:textId="77777777" w:rsidR="006B16C1" w:rsidRPr="00F47A42" w:rsidRDefault="006B16C1" w:rsidP="000A7C1C">
      <w:pPr>
        <w:jc w:val="both"/>
        <w:rPr>
          <w:rFonts w:cs="Arial"/>
        </w:rPr>
      </w:pPr>
      <w:r w:rsidRPr="00F47A42">
        <w:rPr>
          <w:rFonts w:cs="Arial"/>
        </w:rPr>
        <w:t xml:space="preserve"> </w:t>
      </w:r>
    </w:p>
    <w:p w14:paraId="63FA6FB1" w14:textId="77777777" w:rsidR="003C4481" w:rsidRDefault="003C4481" w:rsidP="00737940">
      <w:pPr>
        <w:pStyle w:val="Default"/>
        <w:spacing w:after="53"/>
        <w:jc w:val="both"/>
        <w:rPr>
          <w:sz w:val="22"/>
          <w:szCs w:val="22"/>
        </w:rPr>
      </w:pPr>
    </w:p>
    <w:p w14:paraId="199BBE4F" w14:textId="77777777" w:rsidR="003C4481" w:rsidRDefault="003C4481" w:rsidP="00737940">
      <w:pPr>
        <w:pStyle w:val="Default"/>
        <w:spacing w:after="53"/>
        <w:jc w:val="both"/>
        <w:rPr>
          <w:sz w:val="22"/>
          <w:szCs w:val="22"/>
        </w:rPr>
      </w:pPr>
    </w:p>
    <w:p w14:paraId="06E08A7C" w14:textId="77777777" w:rsidR="00980D3D" w:rsidRDefault="00980D3D" w:rsidP="00737940">
      <w:pPr>
        <w:pStyle w:val="Default"/>
        <w:spacing w:after="53"/>
        <w:jc w:val="both"/>
        <w:rPr>
          <w:sz w:val="22"/>
          <w:szCs w:val="22"/>
        </w:rPr>
      </w:pPr>
    </w:p>
    <w:p w14:paraId="6F2D69D9" w14:textId="77777777" w:rsidR="00980D3D" w:rsidRDefault="00980D3D" w:rsidP="00737940">
      <w:pPr>
        <w:pStyle w:val="Default"/>
        <w:spacing w:after="53"/>
        <w:jc w:val="both"/>
        <w:rPr>
          <w:sz w:val="22"/>
          <w:szCs w:val="22"/>
        </w:rPr>
      </w:pPr>
    </w:p>
    <w:p w14:paraId="3C428984" w14:textId="77777777" w:rsidR="00980D3D" w:rsidRDefault="00980D3D" w:rsidP="00737940">
      <w:pPr>
        <w:pStyle w:val="Default"/>
        <w:spacing w:after="53"/>
        <w:jc w:val="both"/>
        <w:rPr>
          <w:sz w:val="22"/>
          <w:szCs w:val="22"/>
        </w:rPr>
      </w:pPr>
    </w:p>
    <w:p w14:paraId="5FA26524" w14:textId="77777777" w:rsidR="003C4481" w:rsidRDefault="003C4481" w:rsidP="00737940">
      <w:pPr>
        <w:pStyle w:val="Default"/>
        <w:spacing w:after="53"/>
        <w:jc w:val="both"/>
        <w:rPr>
          <w:sz w:val="22"/>
          <w:szCs w:val="22"/>
        </w:rPr>
      </w:pPr>
    </w:p>
    <w:p w14:paraId="12E80B10" w14:textId="7F1469C3" w:rsidR="00C85B66" w:rsidRPr="000C0401" w:rsidRDefault="00183202" w:rsidP="00C85B66">
      <w:pPr>
        <w:pStyle w:val="Default"/>
        <w:jc w:val="both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lastRenderedPageBreak/>
        <w:t>4</w:t>
      </w:r>
      <w:r w:rsidR="00C85B66" w:rsidRPr="000C0401">
        <w:rPr>
          <w:b/>
          <w:color w:val="auto"/>
          <w:sz w:val="26"/>
          <w:szCs w:val="26"/>
        </w:rPr>
        <w:t xml:space="preserve">. Exemptions: </w:t>
      </w:r>
    </w:p>
    <w:p w14:paraId="0D4B8185" w14:textId="2B0C263D" w:rsidR="00740BD7" w:rsidRPr="00740BD7" w:rsidRDefault="00183202" w:rsidP="00740BD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FD1F37">
        <w:rPr>
          <w:sz w:val="22"/>
          <w:szCs w:val="22"/>
        </w:rPr>
        <w:t>.1</w:t>
      </w:r>
      <w:r w:rsidR="00740BD7">
        <w:rPr>
          <w:sz w:val="22"/>
          <w:szCs w:val="22"/>
        </w:rPr>
        <w:tab/>
      </w:r>
      <w:r w:rsidR="00740BD7" w:rsidRPr="00740BD7">
        <w:rPr>
          <w:sz w:val="22"/>
          <w:szCs w:val="22"/>
        </w:rPr>
        <w:t xml:space="preserve">In accordance with regulation 20B of the Local Government (Administration) </w:t>
      </w:r>
      <w:r w:rsidR="00740BD7">
        <w:rPr>
          <w:sz w:val="22"/>
          <w:szCs w:val="22"/>
        </w:rPr>
        <w:tab/>
      </w:r>
      <w:r w:rsidR="00740BD7" w:rsidRPr="00740BD7">
        <w:rPr>
          <w:sz w:val="22"/>
          <w:szCs w:val="22"/>
        </w:rPr>
        <w:t xml:space="preserve">Regulations 1996, invitations or offers of tickets from the following organisations are </w:t>
      </w:r>
      <w:r w:rsidR="00740BD7">
        <w:rPr>
          <w:sz w:val="22"/>
          <w:szCs w:val="22"/>
        </w:rPr>
        <w:tab/>
      </w:r>
      <w:r w:rsidR="00740BD7" w:rsidRPr="00740BD7">
        <w:rPr>
          <w:sz w:val="22"/>
          <w:szCs w:val="22"/>
        </w:rPr>
        <w:t xml:space="preserve">excluded from the conflict of interest provisions, but Gifts from these sources (if over </w:t>
      </w:r>
      <w:r w:rsidR="00740BD7">
        <w:rPr>
          <w:sz w:val="22"/>
          <w:szCs w:val="22"/>
        </w:rPr>
        <w:tab/>
      </w:r>
      <w:r w:rsidR="00740BD7" w:rsidRPr="00740BD7">
        <w:rPr>
          <w:sz w:val="22"/>
          <w:szCs w:val="22"/>
        </w:rPr>
        <w:t xml:space="preserve">$300) must still be disclosed and published on the gifts register: </w:t>
      </w:r>
    </w:p>
    <w:p w14:paraId="24B486E3" w14:textId="77777777" w:rsidR="00740BD7" w:rsidRPr="00740BD7" w:rsidRDefault="00740BD7" w:rsidP="00740BD7">
      <w:pPr>
        <w:pStyle w:val="Default"/>
        <w:jc w:val="both"/>
        <w:rPr>
          <w:sz w:val="22"/>
          <w:szCs w:val="22"/>
        </w:rPr>
      </w:pPr>
      <w:r w:rsidRPr="00740BD7">
        <w:rPr>
          <w:sz w:val="22"/>
          <w:szCs w:val="22"/>
        </w:rPr>
        <w:t xml:space="preserve"> </w:t>
      </w:r>
    </w:p>
    <w:p w14:paraId="3CA77574" w14:textId="77777777" w:rsidR="00740BD7" w:rsidRDefault="00740BD7" w:rsidP="00740BD7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WALGA (excluding LGIS); </w:t>
      </w:r>
      <w:r w:rsidRPr="00740BD7">
        <w:rPr>
          <w:sz w:val="22"/>
          <w:szCs w:val="22"/>
        </w:rPr>
        <w:t xml:space="preserve"> </w:t>
      </w:r>
    </w:p>
    <w:p w14:paraId="7F51A573" w14:textId="77777777" w:rsidR="00740BD7" w:rsidRDefault="00740BD7" w:rsidP="00740BD7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740BD7">
        <w:rPr>
          <w:sz w:val="22"/>
          <w:szCs w:val="22"/>
        </w:rPr>
        <w:t>Local Government</w:t>
      </w:r>
      <w:r>
        <w:rPr>
          <w:sz w:val="22"/>
          <w:szCs w:val="22"/>
        </w:rPr>
        <w:t xml:space="preserve"> Professionals Australia (WA); </w:t>
      </w:r>
      <w:r w:rsidRPr="00740BD7">
        <w:rPr>
          <w:sz w:val="22"/>
          <w:szCs w:val="22"/>
        </w:rPr>
        <w:t xml:space="preserve"> </w:t>
      </w:r>
    </w:p>
    <w:p w14:paraId="7A452376" w14:textId="77777777" w:rsidR="00740BD7" w:rsidRDefault="00740BD7" w:rsidP="00740BD7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740BD7">
        <w:rPr>
          <w:sz w:val="22"/>
          <w:szCs w:val="22"/>
        </w:rPr>
        <w:t xml:space="preserve">Australian </w:t>
      </w:r>
      <w:r>
        <w:rPr>
          <w:sz w:val="22"/>
          <w:szCs w:val="22"/>
        </w:rPr>
        <w:t xml:space="preserve">Local Government Association; </w:t>
      </w:r>
    </w:p>
    <w:p w14:paraId="496E5B48" w14:textId="77777777" w:rsidR="00740BD7" w:rsidRDefault="00740BD7" w:rsidP="00740BD7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740BD7">
        <w:rPr>
          <w:sz w:val="22"/>
          <w:szCs w:val="22"/>
        </w:rPr>
        <w:t>A department of the public se</w:t>
      </w:r>
      <w:r>
        <w:rPr>
          <w:sz w:val="22"/>
          <w:szCs w:val="22"/>
        </w:rPr>
        <w:t xml:space="preserve">rvice or statutory authority; </w:t>
      </w:r>
    </w:p>
    <w:p w14:paraId="29B0A4E9" w14:textId="77777777" w:rsidR="00740BD7" w:rsidRDefault="00740BD7" w:rsidP="00740BD7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740BD7">
        <w:rPr>
          <w:sz w:val="22"/>
          <w:szCs w:val="22"/>
        </w:rPr>
        <w:t>A government department of another State, a Terri</w:t>
      </w:r>
      <w:r>
        <w:rPr>
          <w:sz w:val="22"/>
          <w:szCs w:val="22"/>
        </w:rPr>
        <w:t xml:space="preserve">tory or the Commonwealth; and </w:t>
      </w:r>
    </w:p>
    <w:p w14:paraId="78B34A9E" w14:textId="77777777" w:rsidR="00740BD7" w:rsidRDefault="00740BD7" w:rsidP="00740BD7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local government or regional local government.</w:t>
      </w:r>
    </w:p>
    <w:p w14:paraId="114296A6" w14:textId="77777777" w:rsidR="00740BD7" w:rsidRPr="00740BD7" w:rsidRDefault="00740BD7" w:rsidP="00740BD7">
      <w:pPr>
        <w:pStyle w:val="Default"/>
        <w:ind w:left="2217"/>
        <w:jc w:val="both"/>
        <w:rPr>
          <w:sz w:val="22"/>
          <w:szCs w:val="22"/>
        </w:rPr>
      </w:pPr>
    </w:p>
    <w:p w14:paraId="429A0C89" w14:textId="5BD8A1CA" w:rsidR="00740BD7" w:rsidRPr="00740BD7" w:rsidRDefault="00740BD7" w:rsidP="00B66C61">
      <w:pPr>
        <w:pStyle w:val="Default"/>
        <w:ind w:left="851"/>
        <w:jc w:val="both"/>
        <w:rPr>
          <w:sz w:val="22"/>
          <w:szCs w:val="22"/>
        </w:rPr>
      </w:pPr>
      <w:r w:rsidRPr="00740BD7">
        <w:rPr>
          <w:sz w:val="22"/>
          <w:szCs w:val="22"/>
        </w:rPr>
        <w:t>Invitations or offers of tickets in accordance with the above list will exclude the Gift holder from the requirement to disclose an interest</w:t>
      </w:r>
      <w:r w:rsidR="00EF1D3F">
        <w:rPr>
          <w:sz w:val="22"/>
          <w:szCs w:val="22"/>
        </w:rPr>
        <w:t>.</w:t>
      </w:r>
      <w:r w:rsidRPr="00740BD7">
        <w:rPr>
          <w:sz w:val="22"/>
          <w:szCs w:val="22"/>
        </w:rPr>
        <w:t xml:space="preserve"> if the donor has a matter before Council and the ticket is above $300</w:t>
      </w:r>
      <w:r w:rsidR="00EF1D3F">
        <w:rPr>
          <w:sz w:val="22"/>
          <w:szCs w:val="22"/>
        </w:rPr>
        <w:t>,</w:t>
      </w:r>
      <w:r w:rsidRPr="00EC6C5D">
        <w:rPr>
          <w:sz w:val="22"/>
          <w:szCs w:val="22"/>
          <w:highlight w:val="yellow"/>
        </w:rPr>
        <w:t xml:space="preserve"> receipt of the Gift will be required to be </w:t>
      </w:r>
      <w:r w:rsidR="00EF1D3F">
        <w:rPr>
          <w:sz w:val="22"/>
          <w:szCs w:val="22"/>
          <w:highlight w:val="yellow"/>
        </w:rPr>
        <w:t>provided</w:t>
      </w:r>
      <w:r w:rsidR="00EF1D3F" w:rsidRPr="00EC6C5D">
        <w:rPr>
          <w:sz w:val="22"/>
          <w:szCs w:val="22"/>
          <w:highlight w:val="yellow"/>
        </w:rPr>
        <w:t xml:space="preserve"> </w:t>
      </w:r>
      <w:r w:rsidRPr="00EC6C5D">
        <w:rPr>
          <w:sz w:val="22"/>
          <w:szCs w:val="22"/>
          <w:highlight w:val="yellow"/>
        </w:rPr>
        <w:t>and published on the MRC’s gift register in accordance with the gift provisions.</w:t>
      </w:r>
      <w:r w:rsidRPr="00740BD7">
        <w:rPr>
          <w:sz w:val="22"/>
          <w:szCs w:val="22"/>
        </w:rPr>
        <w:t xml:space="preserve"> </w:t>
      </w:r>
    </w:p>
    <w:p w14:paraId="2ADFC062" w14:textId="77777777" w:rsidR="00740BD7" w:rsidRDefault="00740BD7" w:rsidP="00B66C61">
      <w:pPr>
        <w:pStyle w:val="Default"/>
        <w:ind w:left="851"/>
        <w:jc w:val="both"/>
        <w:rPr>
          <w:sz w:val="22"/>
          <w:szCs w:val="22"/>
        </w:rPr>
      </w:pPr>
      <w:r w:rsidRPr="00740BD7">
        <w:rPr>
          <w:sz w:val="22"/>
          <w:szCs w:val="22"/>
        </w:rPr>
        <w:t>Any other invitation or offer of tickets not sent to the MRC are not captured by this policy and must be disclosed.</w:t>
      </w:r>
    </w:p>
    <w:p w14:paraId="64E4368F" w14:textId="77777777" w:rsidR="00745245" w:rsidRPr="002534DE" w:rsidRDefault="00745245" w:rsidP="00B66C61">
      <w:pPr>
        <w:pStyle w:val="Default"/>
        <w:ind w:left="851"/>
        <w:jc w:val="both"/>
        <w:rPr>
          <w:color w:val="auto"/>
          <w:sz w:val="22"/>
          <w:szCs w:val="22"/>
        </w:rPr>
      </w:pPr>
    </w:p>
    <w:p w14:paraId="220DE651" w14:textId="71BF0704" w:rsidR="002534DE" w:rsidRPr="002534DE" w:rsidRDefault="00183202" w:rsidP="002534DE">
      <w:pPr>
        <w:autoSpaceDE w:val="0"/>
        <w:autoSpaceDN w:val="0"/>
        <w:adjustRightInd w:val="0"/>
        <w:rPr>
          <w:rFonts w:eastAsiaTheme="minorHAnsi" w:cs="Arial"/>
          <w:b/>
          <w:sz w:val="26"/>
          <w:szCs w:val="26"/>
          <w:lang w:eastAsia="en-US"/>
        </w:rPr>
      </w:pPr>
      <w:r>
        <w:rPr>
          <w:rFonts w:eastAsiaTheme="minorHAnsi" w:cs="Arial"/>
          <w:b/>
          <w:sz w:val="26"/>
          <w:szCs w:val="26"/>
          <w:lang w:eastAsia="en-US"/>
        </w:rPr>
        <w:t>5</w:t>
      </w:r>
      <w:r w:rsidR="002534DE">
        <w:rPr>
          <w:rFonts w:eastAsiaTheme="minorHAnsi" w:cs="Arial"/>
          <w:b/>
          <w:sz w:val="26"/>
          <w:szCs w:val="26"/>
          <w:lang w:eastAsia="en-US"/>
        </w:rPr>
        <w:t xml:space="preserve">. </w:t>
      </w:r>
      <w:r w:rsidR="002534DE" w:rsidRPr="002534DE">
        <w:rPr>
          <w:rFonts w:eastAsiaTheme="minorHAnsi" w:cs="Arial"/>
          <w:b/>
          <w:sz w:val="26"/>
          <w:szCs w:val="26"/>
          <w:lang w:eastAsia="en-US"/>
        </w:rPr>
        <w:t xml:space="preserve">Purchase of event tickets by the MRC: </w:t>
      </w:r>
    </w:p>
    <w:p w14:paraId="0A496727" w14:textId="2C79DD8D" w:rsidR="002534DE" w:rsidRPr="002534DE" w:rsidRDefault="00063473" w:rsidP="002534DE">
      <w:pPr>
        <w:autoSpaceDE w:val="0"/>
        <w:autoSpaceDN w:val="0"/>
        <w:adjustRightInd w:val="0"/>
        <w:rPr>
          <w:rFonts w:eastAsiaTheme="minorHAnsi" w:cs="Arial"/>
          <w:color w:val="000000"/>
          <w:lang w:eastAsia="en-US"/>
        </w:rPr>
      </w:pPr>
      <w:r>
        <w:rPr>
          <w:rFonts w:eastAsiaTheme="minorHAnsi" w:cs="Arial"/>
          <w:color w:val="000000"/>
          <w:lang w:eastAsia="en-US"/>
        </w:rPr>
        <w:t>5.1</w:t>
      </w:r>
      <w:r w:rsidRPr="002534DE">
        <w:rPr>
          <w:rFonts w:eastAsiaTheme="minorHAnsi" w:cs="Arial"/>
          <w:color w:val="000000"/>
          <w:lang w:eastAsia="en-US"/>
        </w:rPr>
        <w:t xml:space="preserve"> </w:t>
      </w:r>
      <w:r>
        <w:rPr>
          <w:rFonts w:eastAsiaTheme="minorHAnsi" w:cs="Arial"/>
          <w:color w:val="000000"/>
          <w:lang w:eastAsia="en-US"/>
        </w:rPr>
        <w:t>Where</w:t>
      </w:r>
      <w:r w:rsidR="002534DE" w:rsidRPr="002534DE">
        <w:rPr>
          <w:rFonts w:eastAsiaTheme="minorHAnsi" w:cs="Arial"/>
          <w:color w:val="000000"/>
          <w:lang w:eastAsia="en-US"/>
        </w:rPr>
        <w:t xml:space="preserve"> it is considered significant and necessary for a representative of the MRC to attend a</w:t>
      </w:r>
      <w:r w:rsidR="004E1D34">
        <w:rPr>
          <w:rFonts w:eastAsiaTheme="minorHAnsi" w:cs="Arial"/>
          <w:color w:val="000000"/>
          <w:lang w:eastAsia="en-US"/>
        </w:rPr>
        <w:t>n</w:t>
      </w:r>
      <w:r w:rsidR="002534DE" w:rsidRPr="002534DE">
        <w:rPr>
          <w:rFonts w:eastAsiaTheme="minorHAnsi" w:cs="Arial"/>
          <w:color w:val="000000"/>
          <w:lang w:eastAsia="en-US"/>
        </w:rPr>
        <w:t xml:space="preserve"> event, in line with considerations made under </w:t>
      </w:r>
      <w:r w:rsidR="002534DE" w:rsidRPr="004E1D34">
        <w:rPr>
          <w:rFonts w:eastAsiaTheme="minorHAnsi" w:cs="Arial"/>
          <w:color w:val="000000"/>
          <w:lang w:eastAsia="en-US"/>
        </w:rPr>
        <w:t xml:space="preserve">clause </w:t>
      </w:r>
      <w:r w:rsidR="004E1D34">
        <w:rPr>
          <w:rFonts w:eastAsiaTheme="minorHAnsi" w:cs="Arial"/>
          <w:color w:val="000000"/>
          <w:lang w:eastAsia="en-US"/>
        </w:rPr>
        <w:t>2</w:t>
      </w:r>
      <w:r w:rsidR="002534DE" w:rsidRPr="002534DE">
        <w:rPr>
          <w:rFonts w:eastAsiaTheme="minorHAnsi" w:cs="Arial"/>
          <w:color w:val="000000"/>
          <w:lang w:eastAsia="en-US"/>
        </w:rPr>
        <w:t xml:space="preserve"> of this policy, the CEO may approve the purchase of event tickets. Any approval to purchase event tickets must be in line with the adopted annual budget. </w:t>
      </w:r>
    </w:p>
    <w:p w14:paraId="3D06FFB6" w14:textId="77777777" w:rsidR="00745245" w:rsidRPr="002534DE" w:rsidRDefault="00745245" w:rsidP="00B66C61">
      <w:pPr>
        <w:pStyle w:val="Default"/>
        <w:ind w:left="851"/>
        <w:jc w:val="both"/>
        <w:rPr>
          <w:sz w:val="22"/>
          <w:szCs w:val="22"/>
        </w:rPr>
      </w:pPr>
    </w:p>
    <w:p w14:paraId="508CB9F7" w14:textId="5F60633E" w:rsidR="00745245" w:rsidRPr="00745245" w:rsidRDefault="00063473" w:rsidP="002534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5</w:t>
      </w:r>
      <w:r w:rsidRPr="002534DE">
        <w:rPr>
          <w:sz w:val="22"/>
          <w:szCs w:val="22"/>
        </w:rPr>
        <w:t xml:space="preserve">.2 </w:t>
      </w:r>
      <w:r>
        <w:rPr>
          <w:sz w:val="22"/>
          <w:szCs w:val="22"/>
        </w:rPr>
        <w:t>Clause</w:t>
      </w:r>
      <w:r w:rsidR="00745245" w:rsidRPr="00745245">
        <w:rPr>
          <w:sz w:val="22"/>
          <w:szCs w:val="22"/>
        </w:rPr>
        <w:t xml:space="preserve"> </w:t>
      </w:r>
      <w:r w:rsidR="00183202">
        <w:rPr>
          <w:sz w:val="22"/>
          <w:szCs w:val="22"/>
        </w:rPr>
        <w:t>5</w:t>
      </w:r>
      <w:r w:rsidR="00745245" w:rsidRPr="00745245">
        <w:rPr>
          <w:sz w:val="22"/>
          <w:szCs w:val="22"/>
        </w:rPr>
        <w:t xml:space="preserve"> does not apply to the purchase of conference tickets and any associated costs thereof. Purchases relating to conference tickets, and any associated costs thereof, must be in </w:t>
      </w:r>
      <w:r w:rsidR="004E1D34" w:rsidRPr="00745245">
        <w:rPr>
          <w:sz w:val="22"/>
          <w:szCs w:val="22"/>
        </w:rPr>
        <w:t>the adopted ann</w:t>
      </w:r>
      <w:r w:rsidR="004E1D34">
        <w:rPr>
          <w:sz w:val="22"/>
          <w:szCs w:val="22"/>
        </w:rPr>
        <w:t xml:space="preserve">ual budget and in </w:t>
      </w:r>
      <w:r w:rsidR="00745245" w:rsidRPr="00745245">
        <w:rPr>
          <w:sz w:val="22"/>
          <w:szCs w:val="22"/>
        </w:rPr>
        <w:t xml:space="preserve">line </w:t>
      </w:r>
      <w:r w:rsidR="004E1D34">
        <w:rPr>
          <w:sz w:val="22"/>
          <w:szCs w:val="22"/>
        </w:rPr>
        <w:t xml:space="preserve">with </w:t>
      </w:r>
      <w:r w:rsidR="00745245" w:rsidRPr="004E1D34">
        <w:rPr>
          <w:sz w:val="22"/>
          <w:szCs w:val="22"/>
        </w:rPr>
        <w:t xml:space="preserve">Policy </w:t>
      </w:r>
      <w:r w:rsidR="002534DE" w:rsidRPr="002534DE">
        <w:rPr>
          <w:sz w:val="22"/>
          <w:szCs w:val="22"/>
        </w:rPr>
        <w:t>CP</w:t>
      </w:r>
      <w:r w:rsidR="004E1D34">
        <w:rPr>
          <w:sz w:val="22"/>
          <w:szCs w:val="22"/>
        </w:rPr>
        <w:t xml:space="preserve"> 03 </w:t>
      </w:r>
      <w:r w:rsidR="00745245" w:rsidRPr="00745245">
        <w:rPr>
          <w:sz w:val="22"/>
          <w:szCs w:val="22"/>
        </w:rPr>
        <w:t xml:space="preserve">– </w:t>
      </w:r>
      <w:r w:rsidR="005733C2">
        <w:rPr>
          <w:sz w:val="22"/>
          <w:szCs w:val="22"/>
        </w:rPr>
        <w:t>Conference Attendance (MRC Councillors) CP 04 – Conference Attendance (MRC Employees).</w:t>
      </w:r>
    </w:p>
    <w:p w14:paraId="41C71232" w14:textId="77777777" w:rsidR="00D40688" w:rsidRPr="002534DE" w:rsidRDefault="00D40688" w:rsidP="00072C88">
      <w:pPr>
        <w:jc w:val="both"/>
        <w:rPr>
          <w:rFonts w:cs="Arial"/>
          <w:b/>
          <w:lang w:val="en-US"/>
        </w:rPr>
      </w:pPr>
    </w:p>
    <w:p w14:paraId="0D11DD5C" w14:textId="77777777" w:rsidR="00D40688" w:rsidRPr="002534DE" w:rsidRDefault="00D40688" w:rsidP="00072C88">
      <w:pPr>
        <w:jc w:val="both"/>
        <w:rPr>
          <w:rFonts w:cs="Arial"/>
          <w:b/>
          <w:lang w:val="en-US"/>
        </w:rPr>
      </w:pPr>
    </w:p>
    <w:p w14:paraId="0165DA0F" w14:textId="77777777" w:rsidR="00BC052C" w:rsidRDefault="00BC052C" w:rsidP="00072C88">
      <w:pPr>
        <w:jc w:val="both"/>
        <w:rPr>
          <w:rFonts w:cs="Arial"/>
          <w:b/>
          <w:lang w:val="en-US"/>
        </w:rPr>
      </w:pPr>
    </w:p>
    <w:tbl>
      <w:tblPr>
        <w:tblStyle w:val="TableGrid2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5670"/>
      </w:tblGrid>
      <w:tr w:rsidR="00072C88" w:rsidRPr="000E5192" w14:paraId="6F8483F1" w14:textId="77777777" w:rsidTr="00260076">
        <w:tc>
          <w:tcPr>
            <w:tcW w:w="2835" w:type="dxa"/>
          </w:tcPr>
          <w:p w14:paraId="3B6B1770" w14:textId="77777777" w:rsidR="00072C88" w:rsidRPr="00915E90" w:rsidRDefault="00072C88" w:rsidP="00835EAC">
            <w:pPr>
              <w:rPr>
                <w:rFonts w:eastAsiaTheme="minorHAnsi" w:cs="Arial"/>
              </w:rPr>
            </w:pPr>
            <w:r w:rsidRPr="00915E90">
              <w:rPr>
                <w:rFonts w:cs="Arial"/>
                <w:b/>
              </w:rPr>
              <w:t>Legislation</w:t>
            </w:r>
          </w:p>
        </w:tc>
        <w:tc>
          <w:tcPr>
            <w:tcW w:w="5670" w:type="dxa"/>
          </w:tcPr>
          <w:p w14:paraId="166F010D" w14:textId="77777777" w:rsidR="00740BD7" w:rsidRDefault="00072C88" w:rsidP="00C85B66">
            <w:pPr>
              <w:rPr>
                <w:rFonts w:cs="Arial"/>
                <w:lang w:val="en-US"/>
              </w:rPr>
            </w:pPr>
            <w:r w:rsidRPr="00915E90">
              <w:rPr>
                <w:rFonts w:cs="Arial"/>
                <w:lang w:val="en-US"/>
              </w:rPr>
              <w:t xml:space="preserve">Local Government Act 1995 </w:t>
            </w:r>
            <w:r w:rsidR="00C85B66">
              <w:rPr>
                <w:rFonts w:cs="Arial"/>
                <w:lang w:val="en-US"/>
              </w:rPr>
              <w:t xml:space="preserve">s5.57, s5.62(1B), </w:t>
            </w:r>
            <w:r w:rsidRPr="00915E90">
              <w:rPr>
                <w:rFonts w:cs="Arial"/>
                <w:lang w:val="en-US"/>
              </w:rPr>
              <w:t>s.</w:t>
            </w:r>
            <w:r w:rsidR="00740BD7">
              <w:rPr>
                <w:rFonts w:cs="Arial"/>
                <w:lang w:val="en-US"/>
              </w:rPr>
              <w:t>5.90A</w:t>
            </w:r>
          </w:p>
          <w:p w14:paraId="3B881B1A" w14:textId="77777777" w:rsidR="00F95A2E" w:rsidRPr="00F95A2E" w:rsidRDefault="00740BD7" w:rsidP="00C85B66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Local Government (Administration) Regulations 1996 regulation 20B</w:t>
            </w:r>
            <w:r w:rsidR="00C85B66">
              <w:rPr>
                <w:rFonts w:cs="Arial"/>
                <w:lang w:val="en-US"/>
              </w:rPr>
              <w:t xml:space="preserve"> </w:t>
            </w:r>
          </w:p>
        </w:tc>
      </w:tr>
      <w:tr w:rsidR="00072C88" w:rsidRPr="000E5192" w14:paraId="7DF4CF0A" w14:textId="77777777" w:rsidTr="00260076">
        <w:tc>
          <w:tcPr>
            <w:tcW w:w="2835" w:type="dxa"/>
          </w:tcPr>
          <w:p w14:paraId="49C6AA0A" w14:textId="77777777" w:rsidR="00072C88" w:rsidRPr="00915E90" w:rsidRDefault="00072C88" w:rsidP="00835EAC">
            <w:pPr>
              <w:rPr>
                <w:rFonts w:eastAsiaTheme="minorHAnsi" w:cs="Arial"/>
              </w:rPr>
            </w:pPr>
            <w:r w:rsidRPr="00915E90">
              <w:rPr>
                <w:rFonts w:cs="Arial"/>
                <w:b/>
              </w:rPr>
              <w:t>Responsible Officer</w:t>
            </w:r>
          </w:p>
        </w:tc>
        <w:tc>
          <w:tcPr>
            <w:tcW w:w="5670" w:type="dxa"/>
          </w:tcPr>
          <w:p w14:paraId="65761447" w14:textId="77777777" w:rsidR="00072C88" w:rsidRPr="00915E90" w:rsidRDefault="00072C88" w:rsidP="00835EAC">
            <w:pPr>
              <w:rPr>
                <w:rFonts w:eastAsiaTheme="minorHAnsi" w:cs="Arial"/>
              </w:rPr>
            </w:pPr>
            <w:r w:rsidRPr="00915E90">
              <w:rPr>
                <w:rFonts w:cs="Arial"/>
              </w:rPr>
              <w:t>Chief Executive Officer</w:t>
            </w:r>
          </w:p>
        </w:tc>
      </w:tr>
      <w:tr w:rsidR="00072C88" w:rsidRPr="000E5192" w14:paraId="022087EF" w14:textId="77777777" w:rsidTr="00260076">
        <w:tc>
          <w:tcPr>
            <w:tcW w:w="2835" w:type="dxa"/>
          </w:tcPr>
          <w:p w14:paraId="33B7BE60" w14:textId="77777777" w:rsidR="00072C88" w:rsidRPr="00915E90" w:rsidRDefault="00072C88" w:rsidP="00835EAC">
            <w:pPr>
              <w:rPr>
                <w:rFonts w:eastAsiaTheme="minorHAnsi" w:cs="Arial"/>
              </w:rPr>
            </w:pPr>
            <w:r w:rsidRPr="00915E90">
              <w:rPr>
                <w:rFonts w:cs="Arial"/>
                <w:b/>
              </w:rPr>
              <w:t>Council Meeting Date</w:t>
            </w:r>
          </w:p>
        </w:tc>
        <w:tc>
          <w:tcPr>
            <w:tcW w:w="5670" w:type="dxa"/>
          </w:tcPr>
          <w:p w14:paraId="2B0F3993" w14:textId="20C3AD4F" w:rsidR="00072C88" w:rsidRPr="005116B6" w:rsidRDefault="00272704" w:rsidP="007E0169">
            <w:pPr>
              <w:rPr>
                <w:rFonts w:eastAsiaTheme="minorHAnsi" w:cs="Arial"/>
                <w:color w:val="FF0000"/>
              </w:rPr>
            </w:pPr>
            <w:r>
              <w:rPr>
                <w:rFonts w:eastAsiaTheme="minorHAnsi" w:cs="Arial"/>
              </w:rPr>
              <w:t>30/04/2026</w:t>
            </w:r>
          </w:p>
        </w:tc>
      </w:tr>
      <w:tr w:rsidR="00072C88" w:rsidRPr="000E5192" w14:paraId="1D5ADB17" w14:textId="77777777" w:rsidTr="00260076">
        <w:tc>
          <w:tcPr>
            <w:tcW w:w="2835" w:type="dxa"/>
          </w:tcPr>
          <w:p w14:paraId="350B92E6" w14:textId="77777777" w:rsidR="00072C88" w:rsidRPr="00915E90" w:rsidRDefault="00316BD3" w:rsidP="00835EAC">
            <w:pPr>
              <w:rPr>
                <w:rFonts w:eastAsiaTheme="minorHAnsi" w:cs="Arial"/>
              </w:rPr>
            </w:pPr>
            <w:r>
              <w:rPr>
                <w:rFonts w:cs="Arial"/>
                <w:b/>
              </w:rPr>
              <w:t>Created date:</w:t>
            </w:r>
          </w:p>
        </w:tc>
        <w:tc>
          <w:tcPr>
            <w:tcW w:w="5670" w:type="dxa"/>
          </w:tcPr>
          <w:p w14:paraId="180F4871" w14:textId="77777777" w:rsidR="00072C88" w:rsidRPr="00915E90" w:rsidRDefault="00316BD3" w:rsidP="00835EAC">
            <w:pPr>
              <w:rPr>
                <w:rFonts w:eastAsiaTheme="minorHAnsi" w:cs="Arial"/>
              </w:rPr>
            </w:pPr>
            <w:r>
              <w:rPr>
                <w:rFonts w:cs="Arial"/>
              </w:rPr>
              <w:t>01/08/2022</w:t>
            </w:r>
          </w:p>
        </w:tc>
      </w:tr>
      <w:tr w:rsidR="00072C88" w:rsidRPr="000E5192" w14:paraId="7152E50C" w14:textId="77777777" w:rsidTr="00260076">
        <w:tc>
          <w:tcPr>
            <w:tcW w:w="2835" w:type="dxa"/>
          </w:tcPr>
          <w:p w14:paraId="4193B222" w14:textId="77777777" w:rsidR="00072C88" w:rsidRPr="00915E90" w:rsidRDefault="00072C88" w:rsidP="00835EAC">
            <w:pPr>
              <w:rPr>
                <w:rFonts w:eastAsiaTheme="minorHAnsi" w:cs="Arial"/>
              </w:rPr>
            </w:pPr>
            <w:r w:rsidRPr="00915E90">
              <w:rPr>
                <w:rFonts w:cs="Arial"/>
                <w:b/>
              </w:rPr>
              <w:t>Next Review Date</w:t>
            </w:r>
          </w:p>
        </w:tc>
        <w:tc>
          <w:tcPr>
            <w:tcW w:w="5670" w:type="dxa"/>
          </w:tcPr>
          <w:p w14:paraId="5A25A5B5" w14:textId="0FECC05C" w:rsidR="00072C88" w:rsidRPr="00915E90" w:rsidRDefault="00316BD3" w:rsidP="007E0169">
            <w:pPr>
              <w:rPr>
                <w:rFonts w:eastAsiaTheme="minorHAnsi" w:cs="Arial"/>
              </w:rPr>
            </w:pPr>
            <w:r>
              <w:rPr>
                <w:rFonts w:cs="Arial"/>
              </w:rPr>
              <w:t>01/0</w:t>
            </w:r>
            <w:r w:rsidR="00A26BDE">
              <w:rPr>
                <w:rFonts w:cs="Arial"/>
              </w:rPr>
              <w:t>5</w:t>
            </w:r>
            <w:r>
              <w:rPr>
                <w:rFonts w:cs="Arial"/>
              </w:rPr>
              <w:t>/</w:t>
            </w:r>
            <w:r w:rsidR="00344208">
              <w:rPr>
                <w:rFonts w:cs="Arial"/>
              </w:rPr>
              <w:t>2026</w:t>
            </w:r>
          </w:p>
        </w:tc>
      </w:tr>
      <w:tr w:rsidR="00072C88" w:rsidRPr="000E5192" w14:paraId="5B4B6190" w14:textId="77777777" w:rsidTr="00260076">
        <w:tc>
          <w:tcPr>
            <w:tcW w:w="2835" w:type="dxa"/>
          </w:tcPr>
          <w:p w14:paraId="1429E477" w14:textId="77777777" w:rsidR="00072C88" w:rsidRPr="00915E90" w:rsidRDefault="00072C88" w:rsidP="00835EAC">
            <w:pPr>
              <w:rPr>
                <w:rFonts w:cs="Arial"/>
                <w:b/>
              </w:rPr>
            </w:pPr>
            <w:r w:rsidRPr="00915E90">
              <w:rPr>
                <w:rFonts w:cs="Arial"/>
                <w:b/>
              </w:rPr>
              <w:t>Revision History</w:t>
            </w:r>
          </w:p>
        </w:tc>
        <w:tc>
          <w:tcPr>
            <w:tcW w:w="5670" w:type="dxa"/>
          </w:tcPr>
          <w:p w14:paraId="1E574C6C" w14:textId="77777777" w:rsidR="009C4CCD" w:rsidRDefault="00A018DE" w:rsidP="00835EAC">
            <w:pPr>
              <w:rPr>
                <w:rFonts w:cs="Arial"/>
              </w:rPr>
            </w:pPr>
            <w:r>
              <w:rPr>
                <w:rFonts w:cs="Arial"/>
              </w:rPr>
              <w:t>21/09//2024 no change</w:t>
            </w:r>
          </w:p>
          <w:p w14:paraId="5F25FB85" w14:textId="77777777" w:rsidR="00A018DE" w:rsidRDefault="00A018DE" w:rsidP="00835EAC">
            <w:pPr>
              <w:rPr>
                <w:rFonts w:cs="Arial"/>
              </w:rPr>
            </w:pPr>
            <w:r>
              <w:rPr>
                <w:rFonts w:cs="Arial"/>
              </w:rPr>
              <w:t xml:space="preserve">14/04/2024 no change </w:t>
            </w:r>
          </w:p>
          <w:p w14:paraId="47FBCA1E" w14:textId="314B1793" w:rsidR="00040FEB" w:rsidRDefault="00040FEB" w:rsidP="00835EAC">
            <w:pPr>
              <w:rPr>
                <w:rFonts w:cs="Arial"/>
              </w:rPr>
            </w:pPr>
            <w:r>
              <w:rPr>
                <w:rFonts w:cs="Arial"/>
              </w:rPr>
              <w:t>08/04/2025</w:t>
            </w:r>
            <w:r w:rsidR="00272704">
              <w:rPr>
                <w:rFonts w:cs="Arial"/>
              </w:rPr>
              <w:t xml:space="preserve"> no change</w:t>
            </w:r>
          </w:p>
          <w:p w14:paraId="262E5A4F" w14:textId="6BAF5BBA" w:rsidR="00272704" w:rsidRPr="00915E90" w:rsidRDefault="00272704" w:rsidP="00835EAC">
            <w:pPr>
              <w:rPr>
                <w:rFonts w:cs="Arial"/>
              </w:rPr>
            </w:pPr>
            <w:r>
              <w:rPr>
                <w:rFonts w:cs="Arial"/>
              </w:rPr>
              <w:t>30/0</w:t>
            </w:r>
            <w:r w:rsidR="00EF1D3F">
              <w:rPr>
                <w:rFonts w:cs="Arial"/>
              </w:rPr>
              <w:t>5</w:t>
            </w:r>
            <w:r>
              <w:rPr>
                <w:rFonts w:cs="Arial"/>
              </w:rPr>
              <w:t xml:space="preserve">/2026 </w:t>
            </w:r>
            <w:r w:rsidR="00EF1D3F">
              <w:rPr>
                <w:rFonts w:cs="Arial"/>
              </w:rPr>
              <w:t>minor text change for clarity</w:t>
            </w:r>
          </w:p>
        </w:tc>
      </w:tr>
    </w:tbl>
    <w:p w14:paraId="75EABB7C" w14:textId="77777777" w:rsidR="000852F1" w:rsidRDefault="000852F1" w:rsidP="00260076"/>
    <w:p w14:paraId="49276CA6" w14:textId="77777777" w:rsidR="008F6124" w:rsidRDefault="008F6124" w:rsidP="00260076"/>
    <w:p w14:paraId="087FE5AA" w14:textId="77777777" w:rsidR="008F6124" w:rsidRDefault="008F6124" w:rsidP="00260076"/>
    <w:p w14:paraId="2D9A5791" w14:textId="77777777" w:rsidR="00B66C61" w:rsidRDefault="00B66C61" w:rsidP="00260076"/>
    <w:p w14:paraId="151E20FB" w14:textId="77777777" w:rsidR="00CC45BC" w:rsidRDefault="00CC45BC" w:rsidP="00260076"/>
    <w:p w14:paraId="3FE405B7" w14:textId="565D908B" w:rsidR="00CC45BC" w:rsidRDefault="00CC45BC" w:rsidP="00260076"/>
    <w:p w14:paraId="5E7F0F58" w14:textId="061C816D" w:rsidR="00F42285" w:rsidRDefault="00F42285" w:rsidP="00260076"/>
    <w:p w14:paraId="0E9DE39B" w14:textId="77777777" w:rsidR="00F42285" w:rsidRDefault="00F42285" w:rsidP="00260076"/>
    <w:p w14:paraId="29BC10BA" w14:textId="18504EC7" w:rsidR="00CC45BC" w:rsidRDefault="00CC45BC" w:rsidP="00260076"/>
    <w:p w14:paraId="5BEAE8CE" w14:textId="0F511036" w:rsidR="00063473" w:rsidRDefault="00063473" w:rsidP="00260076"/>
    <w:p w14:paraId="33E7934D" w14:textId="77777777" w:rsidR="00063473" w:rsidRDefault="00063473" w:rsidP="00260076"/>
    <w:p w14:paraId="2EDA81D8" w14:textId="77777777" w:rsidR="00CC45BC" w:rsidRDefault="00CC45BC" w:rsidP="00260076"/>
    <w:p w14:paraId="0FB3FFE2" w14:textId="77777777" w:rsidR="00CC45BC" w:rsidRPr="00CC45BC" w:rsidRDefault="00CC45BC" w:rsidP="00260076">
      <w:pPr>
        <w:rPr>
          <w:b/>
        </w:rPr>
      </w:pPr>
    </w:p>
    <w:p w14:paraId="076C2E5D" w14:textId="77777777" w:rsidR="00CC45BC" w:rsidRPr="00F47A42" w:rsidRDefault="00CC45BC" w:rsidP="00CC45BC">
      <w:pPr>
        <w:spacing w:after="300"/>
        <w:outlineLvl w:val="1"/>
        <w:rPr>
          <w:rFonts w:cs="Arial"/>
          <w:b/>
          <w:bCs/>
          <w:sz w:val="26"/>
          <w:szCs w:val="26"/>
        </w:rPr>
      </w:pPr>
      <w:r w:rsidRPr="00CC45BC">
        <w:rPr>
          <w:rFonts w:cs="Arial"/>
          <w:b/>
          <w:bCs/>
          <w:sz w:val="26"/>
          <w:szCs w:val="26"/>
        </w:rPr>
        <w:t>Attachment A</w:t>
      </w:r>
      <w:r w:rsidRPr="00F47A42">
        <w:rPr>
          <w:rFonts w:cs="Arial"/>
          <w:b/>
          <w:bCs/>
          <w:sz w:val="26"/>
          <w:szCs w:val="26"/>
        </w:rPr>
        <w:t xml:space="preserve"> - Pre-approved events</w:t>
      </w:r>
    </w:p>
    <w:p w14:paraId="5C3B4E2C" w14:textId="77777777" w:rsidR="00CC45BC" w:rsidRPr="00F47A42" w:rsidRDefault="00CC45BC" w:rsidP="00CC45BC">
      <w:pPr>
        <w:spacing w:after="300"/>
        <w:rPr>
          <w:rFonts w:cs="Arial"/>
          <w:color w:val="1D1E1F"/>
          <w:sz w:val="24"/>
          <w:szCs w:val="24"/>
        </w:rPr>
      </w:pPr>
      <w:r w:rsidRPr="00F47A42">
        <w:rPr>
          <w:rFonts w:cs="Arial"/>
          <w:color w:val="1D1E1F"/>
          <w:sz w:val="24"/>
          <w:szCs w:val="24"/>
        </w:rPr>
        <w:t xml:space="preserve">The Council has pre-approved the following events which are exempt from the disclosure of interest provisions of the </w:t>
      </w:r>
      <w:r w:rsidRPr="003A3C27">
        <w:rPr>
          <w:rFonts w:cs="Arial"/>
          <w:i/>
          <w:iCs/>
          <w:color w:val="1D1E1F"/>
          <w:sz w:val="24"/>
          <w:szCs w:val="24"/>
        </w:rPr>
        <w:t>Local Government Act 1995</w:t>
      </w:r>
      <w:r w:rsidRPr="00F47A42">
        <w:rPr>
          <w:rFonts w:cs="Arial"/>
          <w:color w:val="1D1E1F"/>
          <w:sz w:val="24"/>
          <w:szCs w:val="24"/>
        </w:rPr>
        <w:t>:</w:t>
      </w:r>
    </w:p>
    <w:tbl>
      <w:tblPr>
        <w:tblW w:w="9631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60"/>
        <w:gridCol w:w="1618"/>
        <w:gridCol w:w="1559"/>
        <w:gridCol w:w="1559"/>
        <w:gridCol w:w="2835"/>
      </w:tblGrid>
      <w:tr w:rsidR="00CC45BC" w:rsidRPr="00F47A42" w14:paraId="01F518EF" w14:textId="77777777" w:rsidTr="003A3C27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2C426" w14:textId="77777777" w:rsidR="00CC45BC" w:rsidRPr="00F47A42" w:rsidRDefault="00CC45BC" w:rsidP="004B09BD">
            <w:pPr>
              <w:rPr>
                <w:rFonts w:cs="Arial"/>
                <w:color w:val="1D1E1F"/>
                <w:sz w:val="30"/>
                <w:szCs w:val="30"/>
              </w:rPr>
            </w:pPr>
            <w:r w:rsidRPr="00F47A42">
              <w:rPr>
                <w:rFonts w:cs="Arial"/>
                <w:color w:val="1D1E1F"/>
                <w:sz w:val="30"/>
                <w:szCs w:val="30"/>
              </w:rPr>
              <w:t>Event and venue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BE1A9" w14:textId="77777777" w:rsidR="00CC45BC" w:rsidRPr="00F47A42" w:rsidRDefault="00CC45BC" w:rsidP="004B09BD">
            <w:pPr>
              <w:rPr>
                <w:rFonts w:cs="Arial"/>
                <w:color w:val="1D1E1F"/>
                <w:sz w:val="30"/>
                <w:szCs w:val="30"/>
              </w:rPr>
            </w:pPr>
            <w:r w:rsidRPr="00F47A42">
              <w:rPr>
                <w:rFonts w:cs="Arial"/>
                <w:color w:val="1D1E1F"/>
                <w:sz w:val="30"/>
                <w:szCs w:val="30"/>
              </w:rPr>
              <w:t>Date of event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CF3E6" w14:textId="77777777" w:rsidR="00CC45BC" w:rsidRPr="00F47A42" w:rsidRDefault="00CC45BC" w:rsidP="004B09BD">
            <w:pPr>
              <w:rPr>
                <w:rFonts w:cs="Arial"/>
                <w:color w:val="1D1E1F"/>
                <w:sz w:val="30"/>
                <w:szCs w:val="30"/>
              </w:rPr>
            </w:pPr>
            <w:r w:rsidRPr="00F47A42">
              <w:rPr>
                <w:rFonts w:cs="Arial"/>
                <w:color w:val="1D1E1F"/>
                <w:sz w:val="30"/>
                <w:szCs w:val="30"/>
              </w:rPr>
              <w:t>Attendee/s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5A0CA" w14:textId="77777777" w:rsidR="00CC45BC" w:rsidRPr="00F47A42" w:rsidRDefault="00CC45BC" w:rsidP="004B09BD">
            <w:pPr>
              <w:rPr>
                <w:rFonts w:cs="Arial"/>
                <w:color w:val="1D1E1F"/>
                <w:sz w:val="30"/>
                <w:szCs w:val="30"/>
              </w:rPr>
            </w:pPr>
            <w:r w:rsidRPr="00F47A42">
              <w:rPr>
                <w:rFonts w:cs="Arial"/>
                <w:color w:val="1D1E1F"/>
                <w:sz w:val="30"/>
                <w:szCs w:val="30"/>
              </w:rPr>
              <w:t>Cost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61DE1" w14:textId="77777777" w:rsidR="00CC45BC" w:rsidRPr="00F47A42" w:rsidRDefault="00CC45BC" w:rsidP="004B09BD">
            <w:pPr>
              <w:rPr>
                <w:rFonts w:cs="Arial"/>
                <w:color w:val="1D1E1F"/>
                <w:sz w:val="30"/>
                <w:szCs w:val="30"/>
              </w:rPr>
            </w:pPr>
            <w:r w:rsidRPr="00F47A42">
              <w:rPr>
                <w:rFonts w:cs="Arial"/>
                <w:color w:val="1D1E1F"/>
                <w:sz w:val="30"/>
                <w:szCs w:val="30"/>
              </w:rPr>
              <w:t>Date of Council resolution</w:t>
            </w:r>
          </w:p>
        </w:tc>
      </w:tr>
      <w:tr w:rsidR="00CC45BC" w:rsidRPr="00F47A42" w14:paraId="21FA8B8D" w14:textId="77777777" w:rsidTr="00063473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A3449" w14:textId="626CB4C9" w:rsidR="00CC45BC" w:rsidRPr="00F47A42" w:rsidRDefault="00CC45BC" w:rsidP="004B09BD">
            <w:pPr>
              <w:rPr>
                <w:rFonts w:ascii="&amp;quot" w:hAnsi="&amp;quot"/>
                <w:color w:val="1D1E1F"/>
                <w:sz w:val="30"/>
                <w:szCs w:val="30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4957D" w14:textId="10BA9ED9" w:rsidR="00CC45BC" w:rsidRPr="00F47A42" w:rsidRDefault="00CC45BC" w:rsidP="004B09BD">
            <w:pPr>
              <w:rPr>
                <w:rFonts w:ascii="&amp;quot" w:hAnsi="&amp;quot"/>
                <w:color w:val="1D1E1F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79308" w14:textId="494254C3" w:rsidR="00CC45BC" w:rsidRPr="00F47A42" w:rsidRDefault="00CC45BC" w:rsidP="004B09BD">
            <w:pPr>
              <w:rPr>
                <w:rFonts w:ascii="&amp;quot" w:hAnsi="&amp;quot"/>
                <w:color w:val="1D1E1F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083B4" w14:textId="636F8B5D" w:rsidR="00CC45BC" w:rsidRPr="00F47A42" w:rsidRDefault="00CC45BC" w:rsidP="004B09BD">
            <w:pPr>
              <w:rPr>
                <w:rFonts w:ascii="&amp;quot" w:hAnsi="&amp;quot"/>
                <w:color w:val="1D1E1F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97C83" w14:textId="77777777" w:rsidR="00CC45BC" w:rsidRPr="00F47A42" w:rsidRDefault="00CC45BC" w:rsidP="004B09BD">
            <w:pPr>
              <w:rPr>
                <w:rFonts w:ascii="&amp;quot" w:hAnsi="&amp;quot"/>
                <w:color w:val="1D1E1F"/>
                <w:sz w:val="30"/>
                <w:szCs w:val="30"/>
              </w:rPr>
            </w:pPr>
            <w:r w:rsidRPr="00F47A42">
              <w:rPr>
                <w:rFonts w:ascii="&amp;quot" w:hAnsi="&amp;quot"/>
                <w:color w:val="1D1E1F"/>
                <w:sz w:val="30"/>
                <w:szCs w:val="30"/>
              </w:rPr>
              <w:t> </w:t>
            </w:r>
          </w:p>
        </w:tc>
      </w:tr>
      <w:tr w:rsidR="00063473" w:rsidRPr="00F47A42" w14:paraId="6CF23592" w14:textId="77777777" w:rsidTr="003A3C27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ED476" w14:textId="77777777" w:rsidR="00063473" w:rsidRPr="00F47A42" w:rsidRDefault="00063473" w:rsidP="004B09BD">
            <w:pPr>
              <w:rPr>
                <w:rFonts w:ascii="&amp;quot" w:hAnsi="&amp;quot"/>
                <w:color w:val="1D1E1F"/>
                <w:sz w:val="30"/>
                <w:szCs w:val="30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97EEB" w14:textId="77777777" w:rsidR="00063473" w:rsidRPr="00F47A42" w:rsidRDefault="00063473" w:rsidP="004B09BD">
            <w:pPr>
              <w:rPr>
                <w:rFonts w:ascii="&amp;quot" w:hAnsi="&amp;quot"/>
                <w:color w:val="1D1E1F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6E539" w14:textId="77777777" w:rsidR="00063473" w:rsidRPr="00F47A42" w:rsidRDefault="00063473" w:rsidP="004B09BD">
            <w:pPr>
              <w:rPr>
                <w:rFonts w:ascii="&amp;quot" w:hAnsi="&amp;quot"/>
                <w:color w:val="1D1E1F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48C1B" w14:textId="77777777" w:rsidR="00063473" w:rsidRPr="00F47A42" w:rsidRDefault="00063473" w:rsidP="004B09BD">
            <w:pPr>
              <w:rPr>
                <w:rFonts w:ascii="&amp;quot" w:hAnsi="&amp;quot"/>
                <w:color w:val="1D1E1F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FBDD3" w14:textId="77777777" w:rsidR="00063473" w:rsidRPr="00F47A42" w:rsidRDefault="00063473" w:rsidP="004B09BD">
            <w:pPr>
              <w:rPr>
                <w:rFonts w:ascii="&amp;quot" w:hAnsi="&amp;quot"/>
                <w:color w:val="1D1E1F"/>
                <w:sz w:val="30"/>
                <w:szCs w:val="30"/>
              </w:rPr>
            </w:pPr>
          </w:p>
        </w:tc>
      </w:tr>
      <w:tr w:rsidR="00063473" w:rsidRPr="00F47A42" w14:paraId="1DF85980" w14:textId="77777777" w:rsidTr="003A3C27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1DF69" w14:textId="77777777" w:rsidR="00063473" w:rsidRPr="00F47A42" w:rsidRDefault="00063473" w:rsidP="004B09BD">
            <w:pPr>
              <w:rPr>
                <w:rFonts w:ascii="&amp;quot" w:hAnsi="&amp;quot"/>
                <w:color w:val="1D1E1F"/>
                <w:sz w:val="30"/>
                <w:szCs w:val="30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4A31A" w14:textId="77777777" w:rsidR="00063473" w:rsidRPr="00F47A42" w:rsidRDefault="00063473" w:rsidP="004B09BD">
            <w:pPr>
              <w:rPr>
                <w:rFonts w:ascii="&amp;quot" w:hAnsi="&amp;quot"/>
                <w:color w:val="1D1E1F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1F2C4" w14:textId="77777777" w:rsidR="00063473" w:rsidRPr="00F47A42" w:rsidRDefault="00063473" w:rsidP="004B09BD">
            <w:pPr>
              <w:rPr>
                <w:rFonts w:ascii="&amp;quot" w:hAnsi="&amp;quot"/>
                <w:color w:val="1D1E1F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B0645" w14:textId="77777777" w:rsidR="00063473" w:rsidRPr="00F47A42" w:rsidRDefault="00063473" w:rsidP="004B09BD">
            <w:pPr>
              <w:rPr>
                <w:rFonts w:ascii="&amp;quot" w:hAnsi="&amp;quot"/>
                <w:color w:val="1D1E1F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C6055" w14:textId="77777777" w:rsidR="00063473" w:rsidRPr="00F47A42" w:rsidRDefault="00063473" w:rsidP="004B09BD">
            <w:pPr>
              <w:rPr>
                <w:rFonts w:ascii="&amp;quot" w:hAnsi="&amp;quot"/>
                <w:color w:val="1D1E1F"/>
                <w:sz w:val="30"/>
                <w:szCs w:val="30"/>
              </w:rPr>
            </w:pPr>
          </w:p>
        </w:tc>
      </w:tr>
    </w:tbl>
    <w:p w14:paraId="23C87186" w14:textId="77777777" w:rsidR="00CC45BC" w:rsidRDefault="00CC45BC" w:rsidP="00260076"/>
    <w:p w14:paraId="5BB7D83A" w14:textId="77777777" w:rsidR="00B66C61" w:rsidRDefault="00B66C61" w:rsidP="00260076"/>
    <w:p w14:paraId="36EF0BE7" w14:textId="77777777" w:rsidR="00B66C61" w:rsidRDefault="00B66C61" w:rsidP="00260076"/>
    <w:p w14:paraId="0BA866CD" w14:textId="77777777" w:rsidR="00B66C61" w:rsidRDefault="00B66C61" w:rsidP="00260076"/>
    <w:p w14:paraId="567C7DB2" w14:textId="77777777" w:rsidR="00B66C61" w:rsidRDefault="00B66C61" w:rsidP="00260076"/>
    <w:p w14:paraId="00EEEA7D" w14:textId="77777777" w:rsidR="00B66C61" w:rsidRDefault="00B66C61" w:rsidP="00260076"/>
    <w:p w14:paraId="68A66233" w14:textId="77777777" w:rsidR="00B66C61" w:rsidRDefault="00B66C61" w:rsidP="00260076"/>
    <w:p w14:paraId="52121F7C" w14:textId="77777777" w:rsidR="00B66C61" w:rsidRDefault="00B66C61" w:rsidP="00260076"/>
    <w:p w14:paraId="1C4EBF00" w14:textId="77777777" w:rsidR="00B66C61" w:rsidRDefault="00B66C61" w:rsidP="00260076"/>
    <w:p w14:paraId="14022C82" w14:textId="77777777" w:rsidR="00B66C61" w:rsidRDefault="00B66C61" w:rsidP="00260076"/>
    <w:p w14:paraId="327231F9" w14:textId="77777777" w:rsidR="00B66C61" w:rsidRDefault="00B66C61" w:rsidP="00260076"/>
    <w:p w14:paraId="61F3E084" w14:textId="77777777" w:rsidR="00B66C61" w:rsidRDefault="00B66C61" w:rsidP="00260076"/>
    <w:p w14:paraId="63F91798" w14:textId="77777777" w:rsidR="00B66C61" w:rsidRDefault="00B66C61" w:rsidP="00260076"/>
    <w:p w14:paraId="660B14C8" w14:textId="77777777" w:rsidR="00B66C61" w:rsidRDefault="00B66C61" w:rsidP="00260076"/>
    <w:p w14:paraId="52293271" w14:textId="77777777" w:rsidR="00B66C61" w:rsidRDefault="00B66C61" w:rsidP="00260076"/>
    <w:p w14:paraId="11810793" w14:textId="77777777" w:rsidR="008F6124" w:rsidRDefault="008F6124" w:rsidP="00260076"/>
    <w:p w14:paraId="1E0C42CF" w14:textId="77777777" w:rsidR="008F6124" w:rsidRDefault="008F6124" w:rsidP="00260076"/>
    <w:p w14:paraId="576BBFB6" w14:textId="77777777" w:rsidR="008F6124" w:rsidRDefault="008F6124" w:rsidP="00260076"/>
    <w:sectPr w:rsidR="008F6124" w:rsidSect="00A1044C">
      <w:footerReference w:type="default" r:id="rId7"/>
      <w:pgSz w:w="11906" w:h="16838"/>
      <w:pgMar w:top="1440" w:right="1133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2BD25" w14:textId="77777777" w:rsidR="002E28C6" w:rsidRDefault="002E28C6" w:rsidP="00B4303B">
      <w:r>
        <w:separator/>
      </w:r>
    </w:p>
  </w:endnote>
  <w:endnote w:type="continuationSeparator" w:id="0">
    <w:p w14:paraId="59F9BE30" w14:textId="77777777" w:rsidR="002E28C6" w:rsidRDefault="002E28C6" w:rsidP="00B43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6159496"/>
      <w:docPartObj>
        <w:docPartGallery w:val="Page Numbers (Bottom of Page)"/>
        <w:docPartUnique/>
      </w:docPartObj>
    </w:sdtPr>
    <w:sdtContent>
      <w:p w14:paraId="5F213DC4" w14:textId="3BE84DA6" w:rsidR="00B4303B" w:rsidRDefault="00B4303B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0543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194B78E6" w14:textId="77777777" w:rsidR="00B4303B" w:rsidRDefault="00B43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13ED4" w14:textId="77777777" w:rsidR="002E28C6" w:rsidRDefault="002E28C6" w:rsidP="00B4303B">
      <w:r>
        <w:separator/>
      </w:r>
    </w:p>
  </w:footnote>
  <w:footnote w:type="continuationSeparator" w:id="0">
    <w:p w14:paraId="0E9A89C9" w14:textId="77777777" w:rsidR="002E28C6" w:rsidRDefault="002E28C6" w:rsidP="00B43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366105"/>
    <w:multiLevelType w:val="hybridMultilevel"/>
    <w:tmpl w:val="E015C41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5F431B"/>
    <w:multiLevelType w:val="hybridMultilevel"/>
    <w:tmpl w:val="DECAA6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FA1C5"/>
    <w:multiLevelType w:val="hybridMultilevel"/>
    <w:tmpl w:val="15491C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5D8D644"/>
    <w:multiLevelType w:val="hybridMultilevel"/>
    <w:tmpl w:val="0A8A1D2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A4A4F16"/>
    <w:multiLevelType w:val="hybridMultilevel"/>
    <w:tmpl w:val="AF90941E"/>
    <w:lvl w:ilvl="0" w:tplc="0C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535533E0"/>
    <w:multiLevelType w:val="hybridMultilevel"/>
    <w:tmpl w:val="5A80543E"/>
    <w:lvl w:ilvl="0" w:tplc="3BF0B73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614E9"/>
    <w:multiLevelType w:val="hybridMultilevel"/>
    <w:tmpl w:val="421A3EF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47039"/>
    <w:multiLevelType w:val="hybridMultilevel"/>
    <w:tmpl w:val="D318CB82"/>
    <w:lvl w:ilvl="0" w:tplc="9F48114C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443733A"/>
    <w:multiLevelType w:val="hybridMultilevel"/>
    <w:tmpl w:val="03D09F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10422"/>
    <w:multiLevelType w:val="hybridMultilevel"/>
    <w:tmpl w:val="8AC8C60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8325313">
    <w:abstractNumId w:val="8"/>
  </w:num>
  <w:num w:numId="2" w16cid:durableId="789516742">
    <w:abstractNumId w:val="1"/>
  </w:num>
  <w:num w:numId="3" w16cid:durableId="1043286988">
    <w:abstractNumId w:val="9"/>
  </w:num>
  <w:num w:numId="4" w16cid:durableId="1165316885">
    <w:abstractNumId w:val="0"/>
  </w:num>
  <w:num w:numId="5" w16cid:durableId="864096709">
    <w:abstractNumId w:val="3"/>
  </w:num>
  <w:num w:numId="6" w16cid:durableId="243220157">
    <w:abstractNumId w:val="2"/>
  </w:num>
  <w:num w:numId="7" w16cid:durableId="727149696">
    <w:abstractNumId w:val="6"/>
  </w:num>
  <w:num w:numId="8" w16cid:durableId="818231136">
    <w:abstractNumId w:val="4"/>
  </w:num>
  <w:num w:numId="9" w16cid:durableId="1736853143">
    <w:abstractNumId w:val="7"/>
  </w:num>
  <w:num w:numId="10" w16cid:durableId="1971354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U0MrIwMzIxMjW0NDNW0lEKTi0uzszPAykwrAUAlQazjCwAAAA="/>
  </w:docVars>
  <w:rsids>
    <w:rsidRoot w:val="00072C88"/>
    <w:rsid w:val="00033C87"/>
    <w:rsid w:val="00034575"/>
    <w:rsid w:val="0003457E"/>
    <w:rsid w:val="00040FEB"/>
    <w:rsid w:val="000463BC"/>
    <w:rsid w:val="00056D44"/>
    <w:rsid w:val="00063473"/>
    <w:rsid w:val="00072C88"/>
    <w:rsid w:val="000852F1"/>
    <w:rsid w:val="000A7C1C"/>
    <w:rsid w:val="000C0401"/>
    <w:rsid w:val="000C3E6E"/>
    <w:rsid w:val="0012108E"/>
    <w:rsid w:val="0012632B"/>
    <w:rsid w:val="00127040"/>
    <w:rsid w:val="00151E23"/>
    <w:rsid w:val="00153E63"/>
    <w:rsid w:val="001628A6"/>
    <w:rsid w:val="00183202"/>
    <w:rsid w:val="001B7BE5"/>
    <w:rsid w:val="001D5887"/>
    <w:rsid w:val="001E35FD"/>
    <w:rsid w:val="001E530C"/>
    <w:rsid w:val="002170B4"/>
    <w:rsid w:val="0022271B"/>
    <w:rsid w:val="002534DE"/>
    <w:rsid w:val="00260076"/>
    <w:rsid w:val="002706A2"/>
    <w:rsid w:val="0027137F"/>
    <w:rsid w:val="00271F00"/>
    <w:rsid w:val="00272704"/>
    <w:rsid w:val="00272C6C"/>
    <w:rsid w:val="002B23A5"/>
    <w:rsid w:val="002D5CBF"/>
    <w:rsid w:val="002E28C6"/>
    <w:rsid w:val="003132AD"/>
    <w:rsid w:val="0031511D"/>
    <w:rsid w:val="00316BD3"/>
    <w:rsid w:val="00344208"/>
    <w:rsid w:val="00344A4B"/>
    <w:rsid w:val="0034616C"/>
    <w:rsid w:val="0035014D"/>
    <w:rsid w:val="00357D26"/>
    <w:rsid w:val="003660B8"/>
    <w:rsid w:val="00376084"/>
    <w:rsid w:val="0038045F"/>
    <w:rsid w:val="003A3C27"/>
    <w:rsid w:val="003C4481"/>
    <w:rsid w:val="00430460"/>
    <w:rsid w:val="00440A8B"/>
    <w:rsid w:val="00455518"/>
    <w:rsid w:val="00481197"/>
    <w:rsid w:val="00484A7C"/>
    <w:rsid w:val="004B6BF6"/>
    <w:rsid w:val="004C784F"/>
    <w:rsid w:val="004E125A"/>
    <w:rsid w:val="004E1D34"/>
    <w:rsid w:val="00501569"/>
    <w:rsid w:val="00534D8D"/>
    <w:rsid w:val="005379CD"/>
    <w:rsid w:val="00540AEC"/>
    <w:rsid w:val="00543C03"/>
    <w:rsid w:val="005452B0"/>
    <w:rsid w:val="00561789"/>
    <w:rsid w:val="005733C2"/>
    <w:rsid w:val="00573C95"/>
    <w:rsid w:val="00584A6E"/>
    <w:rsid w:val="005A1A94"/>
    <w:rsid w:val="005D42FC"/>
    <w:rsid w:val="005D75A0"/>
    <w:rsid w:val="00647AC0"/>
    <w:rsid w:val="00655181"/>
    <w:rsid w:val="006A7014"/>
    <w:rsid w:val="006B16C1"/>
    <w:rsid w:val="006D4F00"/>
    <w:rsid w:val="00701681"/>
    <w:rsid w:val="00737940"/>
    <w:rsid w:val="00740BD7"/>
    <w:rsid w:val="00745245"/>
    <w:rsid w:val="00746D0A"/>
    <w:rsid w:val="00790CC3"/>
    <w:rsid w:val="00793CAE"/>
    <w:rsid w:val="007C59E0"/>
    <w:rsid w:val="007C699D"/>
    <w:rsid w:val="007E0169"/>
    <w:rsid w:val="00835EAC"/>
    <w:rsid w:val="00861C77"/>
    <w:rsid w:val="00873193"/>
    <w:rsid w:val="008A2D5D"/>
    <w:rsid w:val="008D2815"/>
    <w:rsid w:val="008E0543"/>
    <w:rsid w:val="008F6124"/>
    <w:rsid w:val="00924C2A"/>
    <w:rsid w:val="00955B05"/>
    <w:rsid w:val="00980D3D"/>
    <w:rsid w:val="009C4CCD"/>
    <w:rsid w:val="009C50A8"/>
    <w:rsid w:val="009E5317"/>
    <w:rsid w:val="00A018DE"/>
    <w:rsid w:val="00A1044C"/>
    <w:rsid w:val="00A26BDE"/>
    <w:rsid w:val="00A34D5A"/>
    <w:rsid w:val="00A4798B"/>
    <w:rsid w:val="00A47FC4"/>
    <w:rsid w:val="00A52516"/>
    <w:rsid w:val="00A554A1"/>
    <w:rsid w:val="00A606B2"/>
    <w:rsid w:val="00A72BED"/>
    <w:rsid w:val="00A7403F"/>
    <w:rsid w:val="00A76649"/>
    <w:rsid w:val="00AE3CAA"/>
    <w:rsid w:val="00B259FC"/>
    <w:rsid w:val="00B4303B"/>
    <w:rsid w:val="00B46FD7"/>
    <w:rsid w:val="00B507CD"/>
    <w:rsid w:val="00B557AE"/>
    <w:rsid w:val="00B66C61"/>
    <w:rsid w:val="00B924CC"/>
    <w:rsid w:val="00B94C7D"/>
    <w:rsid w:val="00BC052C"/>
    <w:rsid w:val="00BE1935"/>
    <w:rsid w:val="00BF2643"/>
    <w:rsid w:val="00C06D7E"/>
    <w:rsid w:val="00C16AD9"/>
    <w:rsid w:val="00C46826"/>
    <w:rsid w:val="00C53610"/>
    <w:rsid w:val="00C64760"/>
    <w:rsid w:val="00C85B66"/>
    <w:rsid w:val="00C91FE4"/>
    <w:rsid w:val="00CC2A51"/>
    <w:rsid w:val="00CC45BC"/>
    <w:rsid w:val="00CD0BD5"/>
    <w:rsid w:val="00CF5C8F"/>
    <w:rsid w:val="00D02FC9"/>
    <w:rsid w:val="00D40688"/>
    <w:rsid w:val="00D60227"/>
    <w:rsid w:val="00D74C2A"/>
    <w:rsid w:val="00DB2ACA"/>
    <w:rsid w:val="00DD2141"/>
    <w:rsid w:val="00DE3ACF"/>
    <w:rsid w:val="00E1320B"/>
    <w:rsid w:val="00E27772"/>
    <w:rsid w:val="00E41333"/>
    <w:rsid w:val="00E91AD2"/>
    <w:rsid w:val="00E96EBD"/>
    <w:rsid w:val="00EC6C5D"/>
    <w:rsid w:val="00EE2E3D"/>
    <w:rsid w:val="00EF1D3F"/>
    <w:rsid w:val="00F10AFD"/>
    <w:rsid w:val="00F2131F"/>
    <w:rsid w:val="00F42285"/>
    <w:rsid w:val="00F47272"/>
    <w:rsid w:val="00F5718C"/>
    <w:rsid w:val="00F6059E"/>
    <w:rsid w:val="00F647F3"/>
    <w:rsid w:val="00F8310F"/>
    <w:rsid w:val="00F927F2"/>
    <w:rsid w:val="00F95A2E"/>
    <w:rsid w:val="00FB4393"/>
    <w:rsid w:val="00FD0931"/>
    <w:rsid w:val="00FD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6DA94"/>
  <w15:docId w15:val="{B492DB21-DEC6-44AF-A79F-F44965F4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C88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C88"/>
    <w:pPr>
      <w:ind w:left="720"/>
      <w:contextualSpacing/>
    </w:pPr>
    <w:rPr>
      <w:rFonts w:ascii="Times New Roman" w:hAnsi="Times New Roman"/>
    </w:rPr>
  </w:style>
  <w:style w:type="table" w:customStyle="1" w:styleId="TableGrid2">
    <w:name w:val="Table Grid2"/>
    <w:basedOn w:val="TableNormal"/>
    <w:next w:val="TableGrid"/>
    <w:uiPriority w:val="59"/>
    <w:rsid w:val="00072C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72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00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076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64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47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4760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760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C46826"/>
    <w:rPr>
      <w:color w:val="0563C1" w:themeColor="hyperlink"/>
      <w:u w:val="single"/>
    </w:rPr>
  </w:style>
  <w:style w:type="paragraph" w:customStyle="1" w:styleId="Default">
    <w:name w:val="Default"/>
    <w:rsid w:val="00BC05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3794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430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03B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430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03B"/>
    <w:rPr>
      <w:rFonts w:ascii="Arial" w:eastAsia="Times New Roman" w:hAnsi="Arial" w:cs="Times New Roman"/>
      <w:lang w:eastAsia="en-AU"/>
    </w:rPr>
  </w:style>
  <w:style w:type="paragraph" w:styleId="Revision">
    <w:name w:val="Revision"/>
    <w:hidden/>
    <w:uiPriority w:val="99"/>
    <w:semiHidden/>
    <w:rsid w:val="00040FEB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1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Toward</dc:creator>
  <cp:keywords/>
  <dc:description/>
  <cp:lastModifiedBy>Sonia Cherico</cp:lastModifiedBy>
  <cp:revision>4</cp:revision>
  <cp:lastPrinted>2022-08-24T00:48:00Z</cp:lastPrinted>
  <dcterms:created xsi:type="dcterms:W3CDTF">2026-05-15T07:52:00Z</dcterms:created>
  <dcterms:modified xsi:type="dcterms:W3CDTF">2026-06-17T01:29:00Z</dcterms:modified>
</cp:coreProperties>
</file>