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17F" w14:textId="77777777" w:rsidR="001D5B4C" w:rsidRDefault="001D5B4C" w:rsidP="00C85B66">
      <w:pPr>
        <w:tabs>
          <w:tab w:val="right" w:pos="8787"/>
        </w:tabs>
        <w:jc w:val="both"/>
        <w:rPr>
          <w:rFonts w:cs="Arial"/>
          <w:b/>
        </w:rPr>
      </w:pPr>
    </w:p>
    <w:p w14:paraId="2FEB009E" w14:textId="77777777" w:rsidR="001D5B4C" w:rsidRDefault="001D5B4C" w:rsidP="00C85B66">
      <w:pPr>
        <w:tabs>
          <w:tab w:val="right" w:pos="8787"/>
        </w:tabs>
        <w:jc w:val="both"/>
        <w:rPr>
          <w:rFonts w:cs="Arial"/>
          <w:b/>
        </w:rPr>
      </w:pPr>
    </w:p>
    <w:p w14:paraId="7D5055B9" w14:textId="77777777" w:rsidR="001D5B4C" w:rsidRDefault="001D5B4C" w:rsidP="00C85B66">
      <w:pPr>
        <w:tabs>
          <w:tab w:val="right" w:pos="8787"/>
        </w:tabs>
        <w:jc w:val="both"/>
        <w:rPr>
          <w:rFonts w:cs="Arial"/>
          <w:b/>
        </w:rPr>
      </w:pPr>
    </w:p>
    <w:p w14:paraId="30BDECA7" w14:textId="4E185447" w:rsidR="00072C88" w:rsidRDefault="00072C88" w:rsidP="001D5B4C">
      <w:pPr>
        <w:tabs>
          <w:tab w:val="right" w:pos="8787"/>
        </w:tabs>
        <w:ind w:right="-443"/>
        <w:jc w:val="both"/>
        <w:rPr>
          <w:rFonts w:cs="Arial"/>
        </w:rPr>
      </w:pPr>
      <w:r w:rsidRPr="00915E90">
        <w:rPr>
          <w:rFonts w:cs="Arial"/>
          <w:b/>
        </w:rPr>
        <w:t xml:space="preserve">Policy No: CP </w:t>
      </w:r>
      <w:r w:rsidR="001D5B4C">
        <w:rPr>
          <w:rFonts w:cs="Arial"/>
          <w:b/>
        </w:rPr>
        <w:t>19</w:t>
      </w:r>
      <w:r w:rsidRPr="00915E90">
        <w:rPr>
          <w:rFonts w:cs="Arial"/>
          <w:b/>
        </w:rPr>
        <w:tab/>
        <w:t xml:space="preserve">  </w:t>
      </w:r>
      <w:r w:rsidR="001D5B4C">
        <w:rPr>
          <w:rFonts w:cs="Arial"/>
          <w:b/>
        </w:rPr>
        <w:t xml:space="preserve">    </w:t>
      </w:r>
      <w:r w:rsidRPr="00915E90">
        <w:rPr>
          <w:rFonts w:cs="Arial"/>
          <w:b/>
        </w:rPr>
        <w:t xml:space="preserve">Reference:  </w:t>
      </w:r>
      <w:r w:rsidR="00357D26" w:rsidRPr="001D5B4C">
        <w:rPr>
          <w:rFonts w:cs="Arial"/>
          <w:b/>
        </w:rPr>
        <w:t>D-</w:t>
      </w:r>
      <w:r w:rsidR="00CB2CD6">
        <w:rPr>
          <w:rFonts w:cs="Arial"/>
          <w:b/>
        </w:rPr>
        <w:t>2</w:t>
      </w:r>
      <w:r w:rsidR="000E5EEA">
        <w:rPr>
          <w:rFonts w:cs="Arial"/>
          <w:b/>
        </w:rPr>
        <w:t>6</w:t>
      </w:r>
      <w:r w:rsidR="00CB2CD6">
        <w:rPr>
          <w:rFonts w:cs="Arial"/>
          <w:b/>
        </w:rPr>
        <w:t>-</w:t>
      </w:r>
      <w:r w:rsidR="000E5EEA">
        <w:rPr>
          <w:rFonts w:cs="Arial"/>
          <w:b/>
        </w:rPr>
        <w:t>000</w:t>
      </w:r>
      <w:r w:rsidR="00C50D94">
        <w:rPr>
          <w:rFonts w:cs="Arial"/>
          <w:b/>
        </w:rPr>
        <w:t>2457</w:t>
      </w:r>
    </w:p>
    <w:p w14:paraId="012C917C" w14:textId="77777777" w:rsidR="00072C88" w:rsidRPr="00915E90" w:rsidRDefault="00072C88" w:rsidP="00C85B66">
      <w:pPr>
        <w:tabs>
          <w:tab w:val="right" w:pos="8787"/>
        </w:tabs>
        <w:jc w:val="both"/>
        <w:rPr>
          <w:rFonts w:cs="Arial"/>
        </w:rPr>
      </w:pPr>
    </w:p>
    <w:p w14:paraId="25D5ED6F" w14:textId="4E513E07" w:rsidR="00072C88" w:rsidRPr="00915E90" w:rsidRDefault="00072C88" w:rsidP="00C85B66">
      <w:pPr>
        <w:shd w:val="clear" w:color="auto" w:fill="0070C0"/>
        <w:jc w:val="both"/>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w:t>
      </w:r>
      <w:r w:rsidR="004920BB">
        <w:rPr>
          <w:rFonts w:cs="Arial"/>
          <w:b/>
          <w:color w:val="FFFFFF" w:themeColor="background1"/>
        </w:rPr>
        <w:t xml:space="preserve">RECORDKEEPING </w:t>
      </w:r>
      <w:r w:rsidR="00C91FE4">
        <w:rPr>
          <w:rFonts w:cs="Arial"/>
          <w:b/>
          <w:color w:val="FFFFFF" w:themeColor="background1"/>
        </w:rPr>
        <w:t>POLICY</w:t>
      </w:r>
      <w:r w:rsidRPr="00915E90">
        <w:rPr>
          <w:rFonts w:cs="Arial"/>
          <w:b/>
          <w:color w:val="FFFFFF" w:themeColor="background1"/>
        </w:rPr>
        <w:t xml:space="preserve"> </w:t>
      </w:r>
    </w:p>
    <w:p w14:paraId="1B027553" w14:textId="77777777" w:rsidR="00072C88" w:rsidRPr="00915E90" w:rsidRDefault="00072C88" w:rsidP="00C85B66">
      <w:pPr>
        <w:jc w:val="both"/>
        <w:rPr>
          <w:rFonts w:cs="Arial"/>
          <w:b/>
        </w:rPr>
      </w:pPr>
    </w:p>
    <w:p w14:paraId="614F18FF" w14:textId="77777777" w:rsidR="004076BE" w:rsidRPr="00427111" w:rsidRDefault="00072C88" w:rsidP="001970AD">
      <w:pPr>
        <w:ind w:firstLine="851"/>
        <w:jc w:val="both"/>
        <w:rPr>
          <w:rFonts w:cs="Arial"/>
          <w:b/>
          <w:sz w:val="26"/>
          <w:szCs w:val="26"/>
        </w:rPr>
      </w:pPr>
      <w:r w:rsidRPr="00427111">
        <w:rPr>
          <w:rFonts w:cs="Arial"/>
          <w:b/>
          <w:sz w:val="26"/>
          <w:szCs w:val="26"/>
        </w:rPr>
        <w:t>Policy Statement:</w:t>
      </w:r>
      <w:r w:rsidR="004076BE" w:rsidRPr="00427111">
        <w:rPr>
          <w:rFonts w:cs="Arial"/>
          <w:b/>
          <w:sz w:val="26"/>
          <w:szCs w:val="26"/>
        </w:rPr>
        <w:t xml:space="preserve"> </w:t>
      </w:r>
    </w:p>
    <w:p w14:paraId="309A130A" w14:textId="3232F2BB" w:rsidR="004076BE" w:rsidRDefault="004076BE" w:rsidP="001970AD">
      <w:pPr>
        <w:ind w:left="851"/>
        <w:jc w:val="both"/>
        <w:rPr>
          <w:rFonts w:cs="Arial"/>
          <w:lang w:val="en-US"/>
        </w:rPr>
      </w:pPr>
      <w:r w:rsidRPr="003604A5">
        <w:rPr>
          <w:rFonts w:cs="Arial"/>
          <w:lang w:val="en-US"/>
        </w:rPr>
        <w:t>To ensure that the Mindarie Regional Council (MRC) effectively manage</w:t>
      </w:r>
      <w:r w:rsidR="001970AD">
        <w:rPr>
          <w:rFonts w:cs="Arial"/>
          <w:lang w:val="en-US"/>
        </w:rPr>
        <w:t>s</w:t>
      </w:r>
      <w:r w:rsidRPr="003604A5">
        <w:rPr>
          <w:rFonts w:cs="Arial"/>
          <w:lang w:val="en-US"/>
        </w:rPr>
        <w:t xml:space="preserve"> </w:t>
      </w:r>
      <w:r>
        <w:rPr>
          <w:rFonts w:cs="Arial"/>
          <w:lang w:val="en-US"/>
        </w:rPr>
        <w:t>its</w:t>
      </w:r>
      <w:r w:rsidRPr="003604A5">
        <w:rPr>
          <w:rFonts w:cs="Arial"/>
          <w:lang w:val="en-US"/>
        </w:rPr>
        <w:t xml:space="preserve"> records to provide for accountable and transparent decision-making</w:t>
      </w:r>
      <w:r>
        <w:rPr>
          <w:rFonts w:cs="Arial"/>
          <w:lang w:val="en-US"/>
        </w:rPr>
        <w:t>.</w:t>
      </w:r>
    </w:p>
    <w:p w14:paraId="2484EC60" w14:textId="77777777" w:rsidR="004076BE" w:rsidRDefault="004076BE" w:rsidP="001970AD">
      <w:pPr>
        <w:jc w:val="both"/>
        <w:rPr>
          <w:rFonts w:cs="Arial"/>
          <w:lang w:val="en-US"/>
        </w:rPr>
      </w:pPr>
    </w:p>
    <w:p w14:paraId="281FA1EE" w14:textId="6FD0D2E1" w:rsidR="004076BE" w:rsidRPr="003604A5" w:rsidRDefault="004076BE" w:rsidP="001970AD">
      <w:pPr>
        <w:pStyle w:val="BodyText"/>
        <w:kinsoku w:val="0"/>
        <w:overflowPunct w:val="0"/>
        <w:spacing w:before="1"/>
        <w:ind w:left="851" w:right="123"/>
        <w:jc w:val="both"/>
      </w:pPr>
      <w:r w:rsidRPr="003604A5">
        <w:t xml:space="preserve">The MRC’s core business is waste management delivered on behalf of seven Member Councils across Perth.   The MRC makes decisions on a daily basis </w:t>
      </w:r>
      <w:r>
        <w:t>that</w:t>
      </w:r>
      <w:r w:rsidRPr="003604A5">
        <w:t xml:space="preserve"> </w:t>
      </w:r>
      <w:r>
        <w:t xml:space="preserve">impacts </w:t>
      </w:r>
      <w:r w:rsidRPr="003604A5">
        <w:t xml:space="preserve">its Member Councils and the local community, </w:t>
      </w:r>
      <w:r>
        <w:t>these decisions</w:t>
      </w:r>
      <w:r w:rsidRPr="003604A5">
        <w:t xml:space="preserve"> create corporate records.  This Policy establishes the MRC’s position in relation to appropriate definitions, records accessibility, destruction of records, management of ephemeral records, training and education.</w:t>
      </w:r>
    </w:p>
    <w:p w14:paraId="21D922CD" w14:textId="77777777" w:rsidR="004076BE" w:rsidRPr="003604A5" w:rsidRDefault="004076BE" w:rsidP="001970AD">
      <w:pPr>
        <w:jc w:val="both"/>
        <w:rPr>
          <w:rFonts w:cs="Arial"/>
          <w:b/>
          <w:lang w:val="en-US"/>
        </w:rPr>
      </w:pPr>
    </w:p>
    <w:p w14:paraId="082F5672" w14:textId="77777777" w:rsidR="001970AD" w:rsidRPr="00427111" w:rsidRDefault="00F95A2E" w:rsidP="001970AD">
      <w:pPr>
        <w:ind w:firstLine="851"/>
        <w:jc w:val="both"/>
        <w:rPr>
          <w:rFonts w:cs="Arial"/>
          <w:b/>
          <w:sz w:val="26"/>
          <w:szCs w:val="26"/>
          <w:lang w:val="en-US"/>
        </w:rPr>
      </w:pPr>
      <w:r w:rsidRPr="00427111">
        <w:rPr>
          <w:rFonts w:cs="Arial"/>
          <w:b/>
          <w:sz w:val="26"/>
          <w:szCs w:val="26"/>
          <w:lang w:val="en-US"/>
        </w:rPr>
        <w:t>Objective:</w:t>
      </w:r>
      <w:r w:rsidR="00755B45" w:rsidRPr="00427111">
        <w:rPr>
          <w:rFonts w:cs="Arial"/>
          <w:b/>
          <w:sz w:val="26"/>
          <w:szCs w:val="26"/>
          <w:lang w:val="en-US"/>
        </w:rPr>
        <w:t xml:space="preserve">  </w:t>
      </w:r>
    </w:p>
    <w:p w14:paraId="14D0C0E9" w14:textId="493E8DDF" w:rsidR="00F95A2E" w:rsidRPr="003604A5" w:rsidRDefault="00755B45" w:rsidP="001970AD">
      <w:pPr>
        <w:ind w:firstLine="851"/>
        <w:jc w:val="both"/>
        <w:rPr>
          <w:rFonts w:cs="Arial"/>
          <w:lang w:val="en-US"/>
        </w:rPr>
      </w:pPr>
      <w:r w:rsidRPr="003604A5">
        <w:rPr>
          <w:rFonts w:cs="Arial"/>
          <w:lang w:val="en-US"/>
        </w:rPr>
        <w:t xml:space="preserve">To ensure that the Mindarie Regional Council (MRC) </w:t>
      </w:r>
      <w:r w:rsidR="001970AD">
        <w:rPr>
          <w:rFonts w:cs="Arial"/>
          <w:lang w:val="en-US"/>
        </w:rPr>
        <w:t>complies</w:t>
      </w:r>
      <w:r w:rsidR="004076BE">
        <w:rPr>
          <w:rFonts w:cs="Arial"/>
          <w:lang w:val="en-US"/>
        </w:rPr>
        <w:t xml:space="preserve"> with The </w:t>
      </w:r>
      <w:r w:rsidR="004076BE" w:rsidRPr="004076BE">
        <w:rPr>
          <w:rFonts w:cs="Arial"/>
          <w:i/>
          <w:lang w:val="en-US"/>
        </w:rPr>
        <w:t>States Records Act 2000</w:t>
      </w:r>
    </w:p>
    <w:p w14:paraId="63605DC2" w14:textId="31BC5008" w:rsidR="001970AD" w:rsidRDefault="004076BE" w:rsidP="001970AD">
      <w:pPr>
        <w:ind w:firstLine="851"/>
        <w:jc w:val="both"/>
        <w:rPr>
          <w:rFonts w:cs="Arial"/>
          <w:lang w:val="en-US"/>
        </w:rPr>
      </w:pPr>
      <w:r w:rsidRPr="004076BE">
        <w:rPr>
          <w:rFonts w:cs="Arial"/>
          <w:lang w:val="en-US"/>
        </w:rPr>
        <w:t>which sets out the framework for records management in local government.</w:t>
      </w:r>
    </w:p>
    <w:p w14:paraId="4384F561" w14:textId="505A38C0" w:rsidR="001970AD" w:rsidRDefault="001970AD" w:rsidP="001970AD">
      <w:pPr>
        <w:ind w:firstLine="851"/>
        <w:jc w:val="both"/>
        <w:rPr>
          <w:rFonts w:cs="Arial"/>
          <w:lang w:val="en-US"/>
        </w:rPr>
      </w:pPr>
    </w:p>
    <w:p w14:paraId="553373C6" w14:textId="77777777" w:rsidR="001970AD" w:rsidRDefault="001970AD" w:rsidP="001970AD">
      <w:pPr>
        <w:ind w:firstLine="851"/>
        <w:jc w:val="both"/>
        <w:rPr>
          <w:rFonts w:cs="Arial"/>
          <w:lang w:val="en-US"/>
        </w:rPr>
      </w:pPr>
    </w:p>
    <w:p w14:paraId="07409C4E" w14:textId="7866CE84" w:rsidR="00495FD4" w:rsidRPr="00427111" w:rsidRDefault="004B42C8" w:rsidP="001970AD">
      <w:pPr>
        <w:pStyle w:val="ListParagraph"/>
        <w:numPr>
          <w:ilvl w:val="0"/>
          <w:numId w:val="13"/>
        </w:numPr>
        <w:jc w:val="both"/>
        <w:rPr>
          <w:rFonts w:ascii="Arial" w:hAnsi="Arial" w:cs="Arial"/>
          <w:sz w:val="26"/>
          <w:szCs w:val="26"/>
          <w:lang w:val="en-US"/>
        </w:rPr>
      </w:pPr>
      <w:r w:rsidRPr="00427111">
        <w:rPr>
          <w:rFonts w:ascii="Arial" w:hAnsi="Arial" w:cs="Arial"/>
          <w:b/>
          <w:sz w:val="26"/>
          <w:szCs w:val="26"/>
        </w:rPr>
        <w:t>Scope</w:t>
      </w:r>
      <w:r w:rsidR="00495FD4" w:rsidRPr="00427111">
        <w:rPr>
          <w:rFonts w:ascii="Arial" w:hAnsi="Arial" w:cs="Arial"/>
          <w:sz w:val="26"/>
          <w:szCs w:val="26"/>
        </w:rPr>
        <w:t>:</w:t>
      </w:r>
    </w:p>
    <w:p w14:paraId="54B90D0A" w14:textId="77777777" w:rsidR="00495FD4" w:rsidRPr="003604A5" w:rsidRDefault="00495FD4" w:rsidP="001B2F50">
      <w:pPr>
        <w:pStyle w:val="BodyText"/>
        <w:kinsoku w:val="0"/>
        <w:overflowPunct w:val="0"/>
        <w:jc w:val="both"/>
        <w:rPr>
          <w:b/>
          <w:bCs/>
          <w:sz w:val="21"/>
          <w:szCs w:val="21"/>
        </w:rPr>
      </w:pPr>
    </w:p>
    <w:p w14:paraId="5A361505" w14:textId="6A95A978" w:rsidR="00495FD4" w:rsidRPr="003604A5" w:rsidRDefault="001970AD" w:rsidP="001B2F50">
      <w:pPr>
        <w:pStyle w:val="BodyText"/>
        <w:kinsoku w:val="0"/>
        <w:overflowPunct w:val="0"/>
        <w:ind w:left="791"/>
        <w:jc w:val="both"/>
      </w:pPr>
      <w:r>
        <w:t xml:space="preserve"> </w:t>
      </w:r>
      <w:r w:rsidR="00495FD4" w:rsidRPr="003604A5">
        <w:t xml:space="preserve">This Policy applies to all </w:t>
      </w:r>
      <w:r w:rsidR="00755B45" w:rsidRPr="003604A5">
        <w:t>MRC</w:t>
      </w:r>
      <w:r w:rsidR="00495FD4" w:rsidRPr="003604A5">
        <w:t xml:space="preserve"> Councillors, </w:t>
      </w:r>
      <w:r w:rsidR="00755B45" w:rsidRPr="003604A5">
        <w:t xml:space="preserve">MRC </w:t>
      </w:r>
      <w:r w:rsidR="00495FD4" w:rsidRPr="003604A5">
        <w:t xml:space="preserve">staff, and </w:t>
      </w:r>
      <w:r w:rsidR="00755B45" w:rsidRPr="003604A5">
        <w:t xml:space="preserve">MRC </w:t>
      </w:r>
      <w:r w:rsidR="00495FD4" w:rsidRPr="003604A5">
        <w:t>contractors.</w:t>
      </w:r>
    </w:p>
    <w:p w14:paraId="61AC2D72" w14:textId="21EBE08B" w:rsidR="00755B45" w:rsidRPr="00427111" w:rsidRDefault="00755B45" w:rsidP="001970AD">
      <w:pPr>
        <w:pStyle w:val="Heading1"/>
        <w:numPr>
          <w:ilvl w:val="0"/>
          <w:numId w:val="13"/>
        </w:numPr>
        <w:tabs>
          <w:tab w:val="left" w:pos="851"/>
        </w:tabs>
        <w:kinsoku w:val="0"/>
        <w:overflowPunct w:val="0"/>
        <w:spacing w:before="203"/>
        <w:jc w:val="both"/>
        <w:rPr>
          <w:sz w:val="26"/>
          <w:szCs w:val="26"/>
        </w:rPr>
      </w:pPr>
      <w:r w:rsidRPr="00427111">
        <w:rPr>
          <w:sz w:val="26"/>
          <w:szCs w:val="26"/>
        </w:rPr>
        <w:t>Records and Definitions:</w:t>
      </w:r>
    </w:p>
    <w:p w14:paraId="088809EE" w14:textId="65F19872" w:rsidR="00755B45" w:rsidRPr="003604A5" w:rsidRDefault="00755B45" w:rsidP="001970AD">
      <w:pPr>
        <w:ind w:left="851" w:hanging="851"/>
        <w:jc w:val="both"/>
        <w:rPr>
          <w:rFonts w:cs="Arial"/>
        </w:rPr>
      </w:pPr>
    </w:p>
    <w:p w14:paraId="007234F8" w14:textId="7F2CB9E1" w:rsidR="00755B45" w:rsidRPr="003604A5" w:rsidRDefault="00755B45" w:rsidP="001970AD">
      <w:pPr>
        <w:ind w:left="851"/>
        <w:jc w:val="both"/>
        <w:rPr>
          <w:rFonts w:cs="Arial"/>
        </w:rPr>
      </w:pPr>
      <w:r w:rsidRPr="003604A5">
        <w:rPr>
          <w:rFonts w:cs="Arial"/>
        </w:rPr>
        <w:t>Record</w:t>
      </w:r>
      <w:r w:rsidR="001B2F50" w:rsidRPr="003604A5">
        <w:rPr>
          <w:rFonts w:cs="Arial"/>
        </w:rPr>
        <w:t xml:space="preserve">s can take many forms including file notes of decisions and accounting judgements, </w:t>
      </w:r>
      <w:r w:rsidRPr="003604A5">
        <w:rPr>
          <w:rFonts w:cs="Arial"/>
        </w:rPr>
        <w:t xml:space="preserve">letters, memos, emails, photos, videos, recordings and social media posts. They are important because they are the corporate knowledge </w:t>
      </w:r>
      <w:r w:rsidR="001B2F50" w:rsidRPr="003604A5">
        <w:rPr>
          <w:rFonts w:cs="Arial"/>
        </w:rPr>
        <w:t>of the MRC</w:t>
      </w:r>
      <w:r w:rsidRPr="003604A5">
        <w:rPr>
          <w:rFonts w:cs="Arial"/>
        </w:rPr>
        <w:t xml:space="preserve">, independent of staff turnover. They may also form important evidence in legal proceedings or have priceless value as an historic record. </w:t>
      </w:r>
    </w:p>
    <w:p w14:paraId="25584F99" w14:textId="77777777" w:rsidR="00755B45" w:rsidRPr="003604A5" w:rsidRDefault="00755B45" w:rsidP="001970AD">
      <w:pPr>
        <w:pStyle w:val="BodyText"/>
        <w:kinsoku w:val="0"/>
        <w:overflowPunct w:val="0"/>
        <w:ind w:left="851" w:hanging="851"/>
        <w:jc w:val="both"/>
        <w:rPr>
          <w:b/>
          <w:bCs/>
          <w:sz w:val="21"/>
          <w:szCs w:val="21"/>
        </w:rPr>
      </w:pPr>
    </w:p>
    <w:p w14:paraId="47F26A9C" w14:textId="77777777" w:rsidR="00755B45" w:rsidRPr="003604A5" w:rsidRDefault="00755B45" w:rsidP="001B2F50">
      <w:pPr>
        <w:pStyle w:val="BodyText"/>
        <w:kinsoku w:val="0"/>
        <w:overflowPunct w:val="0"/>
        <w:ind w:left="791" w:right="119"/>
        <w:jc w:val="both"/>
      </w:pPr>
      <w:r w:rsidRPr="003604A5">
        <w:rPr>
          <w:b/>
          <w:bCs/>
        </w:rPr>
        <w:t xml:space="preserve">“corporate record” </w:t>
      </w:r>
      <w:r w:rsidRPr="003604A5">
        <w:t>means any hard-copy, digital or online record that meets one or more of the following criteria:</w:t>
      </w:r>
    </w:p>
    <w:p w14:paraId="39F0CE32" w14:textId="77777777" w:rsidR="00755B45" w:rsidRPr="003604A5" w:rsidRDefault="00755B45" w:rsidP="001B2F50">
      <w:pPr>
        <w:pStyle w:val="BodyText"/>
        <w:kinsoku w:val="0"/>
        <w:overflowPunct w:val="0"/>
        <w:spacing w:before="10"/>
        <w:jc w:val="both"/>
        <w:rPr>
          <w:sz w:val="20"/>
          <w:szCs w:val="20"/>
        </w:rPr>
      </w:pPr>
    </w:p>
    <w:p w14:paraId="662320BD"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contextualSpacing w:val="0"/>
        <w:jc w:val="both"/>
        <w:rPr>
          <w:rFonts w:ascii="Arial" w:hAnsi="Arial" w:cs="Arial"/>
        </w:rPr>
      </w:pPr>
      <w:r w:rsidRPr="003604A5">
        <w:rPr>
          <w:rFonts w:ascii="Arial" w:hAnsi="Arial" w:cs="Arial"/>
        </w:rPr>
        <w:t>It conveys information essential or relevant in decision-making processes.</w:t>
      </w:r>
    </w:p>
    <w:p w14:paraId="6CABE4EC" w14:textId="77777777" w:rsidR="00755B45" w:rsidRPr="003604A5" w:rsidRDefault="00755B45" w:rsidP="001B2F50">
      <w:pPr>
        <w:pStyle w:val="BodyText"/>
        <w:kinsoku w:val="0"/>
        <w:overflowPunct w:val="0"/>
        <w:spacing w:before="9"/>
        <w:jc w:val="both"/>
        <w:rPr>
          <w:sz w:val="20"/>
          <w:szCs w:val="20"/>
        </w:rPr>
      </w:pPr>
    </w:p>
    <w:p w14:paraId="197A3204" w14:textId="0532DABD"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ind w:right="120"/>
        <w:contextualSpacing w:val="0"/>
        <w:jc w:val="both"/>
        <w:rPr>
          <w:rFonts w:ascii="Arial" w:hAnsi="Arial" w:cs="Arial"/>
        </w:rPr>
      </w:pPr>
      <w:r w:rsidRPr="003604A5">
        <w:rPr>
          <w:rFonts w:ascii="Arial" w:hAnsi="Arial" w:cs="Arial"/>
        </w:rPr>
        <w:t xml:space="preserve">It conveys information upon which others will, or may, use to make decisions affecting the </w:t>
      </w:r>
      <w:r w:rsidR="001970AD">
        <w:rPr>
          <w:rFonts w:ascii="Arial" w:hAnsi="Arial" w:cs="Arial"/>
        </w:rPr>
        <w:t>MRC</w:t>
      </w:r>
      <w:r w:rsidRPr="003604A5">
        <w:rPr>
          <w:rFonts w:ascii="Arial" w:hAnsi="Arial" w:cs="Arial"/>
        </w:rPr>
        <w:t>’s operations, rights and obligations under</w:t>
      </w:r>
      <w:r w:rsidRPr="003604A5">
        <w:rPr>
          <w:rFonts w:ascii="Arial" w:hAnsi="Arial" w:cs="Arial"/>
          <w:spacing w:val="-5"/>
        </w:rPr>
        <w:t xml:space="preserve"> </w:t>
      </w:r>
      <w:r w:rsidRPr="003604A5">
        <w:rPr>
          <w:rFonts w:ascii="Arial" w:hAnsi="Arial" w:cs="Arial"/>
        </w:rPr>
        <w:t>legislation.</w:t>
      </w:r>
    </w:p>
    <w:p w14:paraId="7FDD75BA" w14:textId="77777777" w:rsidR="00755B45" w:rsidRPr="003604A5" w:rsidRDefault="00755B45" w:rsidP="001B2F50">
      <w:pPr>
        <w:pStyle w:val="BodyText"/>
        <w:kinsoku w:val="0"/>
        <w:overflowPunct w:val="0"/>
        <w:spacing w:before="10"/>
        <w:jc w:val="both"/>
        <w:rPr>
          <w:sz w:val="20"/>
          <w:szCs w:val="20"/>
        </w:rPr>
      </w:pPr>
    </w:p>
    <w:p w14:paraId="6DFA5C33" w14:textId="6AF07716"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ind w:right="123"/>
        <w:contextualSpacing w:val="0"/>
        <w:jc w:val="both"/>
        <w:rPr>
          <w:rFonts w:ascii="Arial" w:hAnsi="Arial" w:cs="Arial"/>
        </w:rPr>
      </w:pPr>
      <w:r w:rsidRPr="003604A5">
        <w:rPr>
          <w:rFonts w:ascii="Arial" w:hAnsi="Arial" w:cs="Arial"/>
        </w:rPr>
        <w:t xml:space="preserve">It commits the </w:t>
      </w:r>
      <w:r w:rsidR="001970AD">
        <w:rPr>
          <w:rFonts w:ascii="Arial" w:hAnsi="Arial" w:cs="Arial"/>
        </w:rPr>
        <w:t>MRC</w:t>
      </w:r>
      <w:r w:rsidRPr="003604A5">
        <w:rPr>
          <w:rFonts w:ascii="Arial" w:hAnsi="Arial" w:cs="Arial"/>
        </w:rPr>
        <w:t xml:space="preserve"> to certain courses of action, the commitment of resources or </w:t>
      </w:r>
      <w:r w:rsidR="001970AD">
        <w:rPr>
          <w:rFonts w:ascii="Arial" w:hAnsi="Arial" w:cs="Arial"/>
        </w:rPr>
        <w:t xml:space="preserve">the </w:t>
      </w:r>
      <w:r w:rsidRPr="003604A5">
        <w:rPr>
          <w:rFonts w:ascii="Arial" w:hAnsi="Arial" w:cs="Arial"/>
        </w:rPr>
        <w:t>provision of</w:t>
      </w:r>
      <w:r w:rsidRPr="003604A5">
        <w:rPr>
          <w:rFonts w:ascii="Arial" w:hAnsi="Arial" w:cs="Arial"/>
          <w:spacing w:val="3"/>
        </w:rPr>
        <w:t xml:space="preserve"> </w:t>
      </w:r>
      <w:r w:rsidRPr="003604A5">
        <w:rPr>
          <w:rFonts w:ascii="Arial" w:hAnsi="Arial" w:cs="Arial"/>
        </w:rPr>
        <w:t>services.</w:t>
      </w:r>
    </w:p>
    <w:p w14:paraId="38B005A4" w14:textId="77777777" w:rsidR="00755B45" w:rsidRPr="003604A5" w:rsidRDefault="00755B45" w:rsidP="001B2F50">
      <w:pPr>
        <w:pStyle w:val="BodyText"/>
        <w:kinsoku w:val="0"/>
        <w:overflowPunct w:val="0"/>
        <w:spacing w:before="10"/>
        <w:jc w:val="both"/>
        <w:rPr>
          <w:sz w:val="20"/>
          <w:szCs w:val="20"/>
        </w:rPr>
      </w:pPr>
    </w:p>
    <w:p w14:paraId="53D53AD2"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ind w:right="120"/>
        <w:contextualSpacing w:val="0"/>
        <w:jc w:val="both"/>
        <w:rPr>
          <w:rFonts w:ascii="Arial" w:hAnsi="Arial" w:cs="Arial"/>
        </w:rPr>
      </w:pPr>
      <w:r w:rsidRPr="003604A5">
        <w:rPr>
          <w:rFonts w:ascii="Arial" w:hAnsi="Arial" w:cs="Arial"/>
        </w:rPr>
        <w:t>It conveys information about matters of public safety or public interest, or involves information upon which contractual undertakings are entered</w:t>
      </w:r>
      <w:r w:rsidRPr="003604A5">
        <w:rPr>
          <w:rFonts w:ascii="Arial" w:hAnsi="Arial" w:cs="Arial"/>
          <w:spacing w:val="-9"/>
        </w:rPr>
        <w:t xml:space="preserve"> </w:t>
      </w:r>
      <w:r w:rsidRPr="003604A5">
        <w:rPr>
          <w:rFonts w:ascii="Arial" w:hAnsi="Arial" w:cs="Arial"/>
        </w:rPr>
        <w:t>into.</w:t>
      </w:r>
    </w:p>
    <w:p w14:paraId="363E66C0" w14:textId="77777777" w:rsidR="00755B45" w:rsidRPr="003604A5" w:rsidRDefault="00755B45" w:rsidP="001B2F50">
      <w:pPr>
        <w:pStyle w:val="BodyText"/>
        <w:kinsoku w:val="0"/>
        <w:overflowPunct w:val="0"/>
        <w:spacing w:before="7"/>
        <w:jc w:val="both"/>
        <w:rPr>
          <w:sz w:val="20"/>
          <w:szCs w:val="20"/>
        </w:rPr>
      </w:pPr>
    </w:p>
    <w:p w14:paraId="12F8B323" w14:textId="77777777" w:rsidR="00755B45" w:rsidRPr="003604A5" w:rsidRDefault="00755B45" w:rsidP="001B2F50">
      <w:pPr>
        <w:pStyle w:val="ListParagraph"/>
        <w:widowControl w:val="0"/>
        <w:numPr>
          <w:ilvl w:val="1"/>
          <w:numId w:val="12"/>
        </w:numPr>
        <w:tabs>
          <w:tab w:val="left" w:pos="1358"/>
        </w:tabs>
        <w:kinsoku w:val="0"/>
        <w:overflowPunct w:val="0"/>
        <w:autoSpaceDE w:val="0"/>
        <w:autoSpaceDN w:val="0"/>
        <w:adjustRightInd w:val="0"/>
        <w:spacing w:before="1"/>
        <w:contextualSpacing w:val="0"/>
        <w:jc w:val="both"/>
        <w:rPr>
          <w:rFonts w:ascii="Arial" w:hAnsi="Arial" w:cs="Arial"/>
        </w:rPr>
      </w:pPr>
      <w:r w:rsidRPr="003604A5">
        <w:rPr>
          <w:rFonts w:ascii="Arial" w:hAnsi="Arial" w:cs="Arial"/>
        </w:rPr>
        <w:t>The information is likely to be needed for future use, or is of historical</w:t>
      </w:r>
      <w:r w:rsidRPr="003604A5">
        <w:rPr>
          <w:rFonts w:ascii="Arial" w:hAnsi="Arial" w:cs="Arial"/>
          <w:spacing w:val="-15"/>
        </w:rPr>
        <w:t xml:space="preserve"> </w:t>
      </w:r>
      <w:r w:rsidRPr="003604A5">
        <w:rPr>
          <w:rFonts w:ascii="Arial" w:hAnsi="Arial" w:cs="Arial"/>
        </w:rPr>
        <w:t>value.</w:t>
      </w:r>
    </w:p>
    <w:p w14:paraId="69FD01F4" w14:textId="77777777" w:rsidR="00755B45" w:rsidRPr="003604A5" w:rsidRDefault="00755B45" w:rsidP="001B2F50">
      <w:pPr>
        <w:pStyle w:val="BodyText"/>
        <w:kinsoku w:val="0"/>
        <w:overflowPunct w:val="0"/>
        <w:spacing w:before="11"/>
        <w:jc w:val="both"/>
        <w:rPr>
          <w:sz w:val="20"/>
          <w:szCs w:val="20"/>
        </w:rPr>
      </w:pPr>
    </w:p>
    <w:p w14:paraId="2A40EF58" w14:textId="4FE257B0" w:rsidR="00755B45" w:rsidRPr="003604A5" w:rsidRDefault="00755B45" w:rsidP="001B2F50">
      <w:pPr>
        <w:pStyle w:val="BodyText"/>
        <w:kinsoku w:val="0"/>
        <w:overflowPunct w:val="0"/>
        <w:ind w:left="791" w:right="118"/>
        <w:jc w:val="both"/>
      </w:pPr>
      <w:r w:rsidRPr="003604A5">
        <w:rPr>
          <w:b/>
          <w:bCs/>
        </w:rPr>
        <w:t xml:space="preserve">“ephemeral record” </w:t>
      </w:r>
      <w:r w:rsidRPr="003604A5">
        <w:t xml:space="preserve">means any record that has no continuing value to the </w:t>
      </w:r>
      <w:r w:rsidR="001970AD">
        <w:t>MRC</w:t>
      </w:r>
      <w:r w:rsidRPr="003604A5">
        <w:t xml:space="preserve"> and is generally only needed for a few hours or a few days. The </w:t>
      </w:r>
      <w:r w:rsidR="001970AD">
        <w:t>MRC</w:t>
      </w:r>
      <w:r w:rsidRPr="003604A5">
        <w:t xml:space="preserve"> uses the guidelines contained within the </w:t>
      </w:r>
      <w:r w:rsidRPr="003604A5">
        <w:rPr>
          <w:i/>
          <w:iCs/>
        </w:rPr>
        <w:t xml:space="preserve">General Disposal Authority for Local Government Records </w:t>
      </w:r>
      <w:r w:rsidRPr="003604A5">
        <w:t>to determine which records are considered ephemeral.</w:t>
      </w:r>
    </w:p>
    <w:p w14:paraId="182AC68F" w14:textId="77777777" w:rsidR="00755B45" w:rsidRPr="003604A5" w:rsidRDefault="00755B45" w:rsidP="001B2F50">
      <w:pPr>
        <w:pStyle w:val="BodyText"/>
        <w:kinsoku w:val="0"/>
        <w:overflowPunct w:val="0"/>
        <w:jc w:val="both"/>
        <w:rPr>
          <w:sz w:val="24"/>
          <w:szCs w:val="24"/>
        </w:rPr>
      </w:pPr>
    </w:p>
    <w:p w14:paraId="4CCCA393" w14:textId="77777777" w:rsidR="00755B45" w:rsidRPr="003604A5" w:rsidRDefault="00755B45" w:rsidP="00495FD4">
      <w:pPr>
        <w:pStyle w:val="BodyText"/>
        <w:kinsoku w:val="0"/>
        <w:overflowPunct w:val="0"/>
        <w:spacing w:before="1"/>
        <w:ind w:left="791" w:right="123"/>
        <w:jc w:val="both"/>
        <w:sectPr w:rsidR="00755B45" w:rsidRPr="003604A5">
          <w:footerReference w:type="default" r:id="rId7"/>
          <w:pgSz w:w="11910" w:h="16840"/>
          <w:pgMar w:top="0" w:right="840" w:bottom="1020" w:left="740" w:header="0" w:footer="827" w:gutter="0"/>
          <w:pgNumType w:start="1"/>
          <w:cols w:space="720"/>
          <w:noEndnote/>
        </w:sectPr>
      </w:pPr>
    </w:p>
    <w:p w14:paraId="64037E0F" w14:textId="086F4C9C" w:rsidR="00495FD4" w:rsidRPr="00427111" w:rsidRDefault="00495FD4" w:rsidP="001970AD">
      <w:pPr>
        <w:pStyle w:val="Heading1"/>
        <w:numPr>
          <w:ilvl w:val="0"/>
          <w:numId w:val="13"/>
        </w:numPr>
        <w:tabs>
          <w:tab w:val="left" w:pos="586"/>
        </w:tabs>
        <w:kinsoku w:val="0"/>
        <w:overflowPunct w:val="0"/>
        <w:spacing w:before="80"/>
        <w:rPr>
          <w:sz w:val="26"/>
          <w:szCs w:val="26"/>
        </w:rPr>
      </w:pPr>
      <w:r w:rsidRPr="00427111">
        <w:rPr>
          <w:sz w:val="26"/>
          <w:szCs w:val="26"/>
        </w:rPr>
        <w:lastRenderedPageBreak/>
        <w:t>Details:</w:t>
      </w:r>
    </w:p>
    <w:p w14:paraId="7507E0C9" w14:textId="77777777" w:rsidR="00495FD4" w:rsidRPr="003604A5" w:rsidRDefault="00495FD4" w:rsidP="00495FD4">
      <w:pPr>
        <w:pStyle w:val="BodyText"/>
        <w:kinsoku w:val="0"/>
        <w:overflowPunct w:val="0"/>
        <w:spacing w:before="9"/>
        <w:rPr>
          <w:b/>
          <w:bCs/>
          <w:sz w:val="20"/>
          <w:szCs w:val="20"/>
        </w:rPr>
      </w:pPr>
    </w:p>
    <w:p w14:paraId="4A4768F8" w14:textId="35C85C7A" w:rsidR="00495FD4" w:rsidRPr="001970AD" w:rsidRDefault="00495FD4" w:rsidP="001970AD">
      <w:pPr>
        <w:pStyle w:val="ListParagraph"/>
        <w:widowControl w:val="0"/>
        <w:numPr>
          <w:ilvl w:val="1"/>
          <w:numId w:val="13"/>
        </w:numPr>
        <w:tabs>
          <w:tab w:val="left" w:pos="1358"/>
        </w:tabs>
        <w:kinsoku w:val="0"/>
        <w:overflowPunct w:val="0"/>
        <w:autoSpaceDE w:val="0"/>
        <w:autoSpaceDN w:val="0"/>
        <w:adjustRightInd w:val="0"/>
        <w:rPr>
          <w:rFonts w:ascii="Arial" w:hAnsi="Arial" w:cs="Arial"/>
          <w:b/>
          <w:bCs/>
        </w:rPr>
      </w:pPr>
      <w:r w:rsidRPr="001970AD">
        <w:rPr>
          <w:rFonts w:ascii="Arial" w:hAnsi="Arial" w:cs="Arial"/>
          <w:b/>
          <w:bCs/>
        </w:rPr>
        <w:t>General</w:t>
      </w:r>
      <w:r w:rsidRPr="001970AD">
        <w:rPr>
          <w:rFonts w:ascii="Arial" w:hAnsi="Arial" w:cs="Arial"/>
          <w:b/>
          <w:bCs/>
          <w:spacing w:val="1"/>
        </w:rPr>
        <w:t xml:space="preserve"> </w:t>
      </w:r>
      <w:r w:rsidRPr="001970AD">
        <w:rPr>
          <w:rFonts w:ascii="Arial" w:hAnsi="Arial" w:cs="Arial"/>
          <w:b/>
          <w:bCs/>
        </w:rPr>
        <w:t>Recordkeeping:</w:t>
      </w:r>
    </w:p>
    <w:p w14:paraId="0779AA9A" w14:textId="3CAD8B89"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rPr>
          <w:rFonts w:ascii="Arial" w:hAnsi="Arial" w:cs="Arial"/>
          <w:b/>
          <w:bCs/>
        </w:rPr>
      </w:pPr>
    </w:p>
    <w:p w14:paraId="6562FD22" w14:textId="061CF955"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jc w:val="both"/>
        <w:rPr>
          <w:rFonts w:ascii="Arial" w:hAnsi="Arial" w:cs="Arial"/>
          <w:bCs/>
        </w:rPr>
      </w:pPr>
      <w:r w:rsidRPr="003604A5">
        <w:rPr>
          <w:rFonts w:ascii="Arial" w:hAnsi="Arial" w:cs="Arial"/>
          <w:bCs/>
        </w:rPr>
        <w:t xml:space="preserve">Under </w:t>
      </w:r>
      <w:r w:rsidR="00AB68FD">
        <w:rPr>
          <w:rFonts w:ascii="Arial" w:hAnsi="Arial" w:cs="Arial"/>
          <w:bCs/>
          <w:i/>
        </w:rPr>
        <w:t>s.5.41(e)</w:t>
      </w:r>
      <w:r w:rsidRPr="003604A5">
        <w:rPr>
          <w:rFonts w:ascii="Arial" w:hAnsi="Arial" w:cs="Arial"/>
          <w:bCs/>
        </w:rPr>
        <w:t xml:space="preserve"> of the </w:t>
      </w:r>
      <w:r w:rsidRPr="003604A5">
        <w:rPr>
          <w:rFonts w:ascii="Arial" w:hAnsi="Arial" w:cs="Arial"/>
          <w:bCs/>
          <w:i/>
        </w:rPr>
        <w:t>Local Government Act 1995</w:t>
      </w:r>
      <w:r w:rsidRPr="003604A5">
        <w:rPr>
          <w:rFonts w:ascii="Arial" w:hAnsi="Arial" w:cs="Arial"/>
          <w:bCs/>
        </w:rPr>
        <w:t xml:space="preserve">, one of the primary functions of the CEO is to ensure </w:t>
      </w:r>
      <w:r w:rsidRPr="003604A5">
        <w:rPr>
          <w:rFonts w:ascii="Arial" w:hAnsi="Arial" w:cs="Arial"/>
        </w:rPr>
        <w:t>that records and documents of the MRC are properly kept for the purposes of the Local Government Act and any other written law.</w:t>
      </w:r>
    </w:p>
    <w:p w14:paraId="68CEECE5" w14:textId="77777777" w:rsidR="009A1846" w:rsidRPr="003604A5" w:rsidRDefault="009A1846" w:rsidP="009A1846">
      <w:pPr>
        <w:pStyle w:val="ListParagraph"/>
        <w:widowControl w:val="0"/>
        <w:tabs>
          <w:tab w:val="left" w:pos="1358"/>
        </w:tabs>
        <w:kinsoku w:val="0"/>
        <w:overflowPunct w:val="0"/>
        <w:autoSpaceDE w:val="0"/>
        <w:autoSpaceDN w:val="0"/>
        <w:adjustRightInd w:val="0"/>
        <w:ind w:left="1358"/>
        <w:contextualSpacing w:val="0"/>
        <w:rPr>
          <w:rFonts w:ascii="Arial" w:hAnsi="Arial" w:cs="Arial"/>
          <w:b/>
          <w:bCs/>
        </w:rPr>
      </w:pPr>
    </w:p>
    <w:p w14:paraId="09C06BD9" w14:textId="4BA495D9" w:rsidR="00495FD4" w:rsidRPr="003604A5" w:rsidRDefault="00495FD4" w:rsidP="00495FD4">
      <w:pPr>
        <w:pStyle w:val="BodyText"/>
        <w:kinsoku w:val="0"/>
        <w:overflowPunct w:val="0"/>
        <w:ind w:left="1358" w:right="118"/>
        <w:jc w:val="both"/>
      </w:pPr>
      <w:r w:rsidRPr="003604A5">
        <w:t xml:space="preserve">All </w:t>
      </w:r>
      <w:r w:rsidR="00755B45" w:rsidRPr="003604A5">
        <w:t>MRC Councillors</w:t>
      </w:r>
      <w:r w:rsidRPr="003604A5">
        <w:t>, staf</w:t>
      </w:r>
      <w:r w:rsidR="00330927" w:rsidRPr="003604A5">
        <w:t xml:space="preserve">f </w:t>
      </w:r>
      <w:r w:rsidRPr="003604A5">
        <w:t xml:space="preserve">and contractors are responsible for maintaining complete, accurate and reliable evidence of all business transactions, and ensuring all corporate records are retained within the </w:t>
      </w:r>
      <w:r w:rsidR="001970AD">
        <w:t>MRC</w:t>
      </w:r>
      <w:r w:rsidRPr="003604A5">
        <w:t>’s official recordkeeping systems at the point of creation, regardless of the format, being in accordance with the</w:t>
      </w:r>
      <w:r w:rsidRPr="003604A5">
        <w:rPr>
          <w:spacing w:val="-8"/>
        </w:rPr>
        <w:t xml:space="preserve"> </w:t>
      </w:r>
      <w:r w:rsidRPr="003604A5">
        <w:t>following:</w:t>
      </w:r>
    </w:p>
    <w:p w14:paraId="35F60746"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21"/>
        <w:contextualSpacing w:val="0"/>
        <w:rPr>
          <w:rFonts w:ascii="Arial" w:hAnsi="Arial" w:cs="Arial"/>
          <w:b/>
          <w:i/>
          <w:iCs/>
        </w:rPr>
      </w:pPr>
      <w:r w:rsidRPr="003604A5">
        <w:rPr>
          <w:rFonts w:ascii="Arial" w:hAnsi="Arial" w:cs="Arial"/>
          <w:b/>
          <w:i/>
          <w:iCs/>
        </w:rPr>
        <w:t>Evidence Act</w:t>
      </w:r>
      <w:r w:rsidRPr="003604A5">
        <w:rPr>
          <w:rFonts w:ascii="Arial" w:hAnsi="Arial" w:cs="Arial"/>
          <w:b/>
          <w:i/>
          <w:iCs/>
          <w:spacing w:val="-1"/>
        </w:rPr>
        <w:t xml:space="preserve"> </w:t>
      </w:r>
      <w:r w:rsidRPr="003604A5">
        <w:rPr>
          <w:rFonts w:ascii="Arial" w:hAnsi="Arial" w:cs="Arial"/>
          <w:b/>
          <w:i/>
          <w:iCs/>
        </w:rPr>
        <w:t>1906</w:t>
      </w:r>
    </w:p>
    <w:p w14:paraId="3A81DF0C"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9"/>
        <w:contextualSpacing w:val="0"/>
        <w:rPr>
          <w:rFonts w:ascii="Arial" w:hAnsi="Arial" w:cs="Arial"/>
          <w:b/>
          <w:i/>
          <w:iCs/>
        </w:rPr>
      </w:pPr>
      <w:r w:rsidRPr="003604A5">
        <w:rPr>
          <w:rFonts w:ascii="Arial" w:hAnsi="Arial" w:cs="Arial"/>
          <w:b/>
          <w:i/>
          <w:iCs/>
        </w:rPr>
        <w:t>Freedom of Information Act</w:t>
      </w:r>
      <w:r w:rsidRPr="003604A5">
        <w:rPr>
          <w:rFonts w:ascii="Arial" w:hAnsi="Arial" w:cs="Arial"/>
          <w:b/>
          <w:i/>
          <w:iCs/>
          <w:spacing w:val="-3"/>
        </w:rPr>
        <w:t xml:space="preserve"> </w:t>
      </w:r>
      <w:r w:rsidRPr="003604A5">
        <w:rPr>
          <w:rFonts w:ascii="Arial" w:hAnsi="Arial" w:cs="Arial"/>
          <w:b/>
          <w:i/>
          <w:iCs/>
        </w:rPr>
        <w:t>1992</w:t>
      </w:r>
    </w:p>
    <w:p w14:paraId="2356A84D"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7"/>
        <w:contextualSpacing w:val="0"/>
        <w:rPr>
          <w:rFonts w:ascii="Arial" w:hAnsi="Arial" w:cs="Arial"/>
          <w:b/>
          <w:i/>
          <w:iCs/>
        </w:rPr>
      </w:pPr>
      <w:r w:rsidRPr="003604A5">
        <w:rPr>
          <w:rFonts w:ascii="Arial" w:hAnsi="Arial" w:cs="Arial"/>
          <w:b/>
          <w:i/>
          <w:iCs/>
        </w:rPr>
        <w:t>Local Government Accounting Directions</w:t>
      </w:r>
      <w:r w:rsidRPr="003604A5">
        <w:rPr>
          <w:rFonts w:ascii="Arial" w:hAnsi="Arial" w:cs="Arial"/>
          <w:b/>
          <w:i/>
          <w:iCs/>
          <w:spacing w:val="-5"/>
        </w:rPr>
        <w:t xml:space="preserve"> </w:t>
      </w:r>
      <w:r w:rsidRPr="003604A5">
        <w:rPr>
          <w:rFonts w:ascii="Arial" w:hAnsi="Arial" w:cs="Arial"/>
          <w:b/>
          <w:i/>
          <w:iCs/>
        </w:rPr>
        <w:t>1994</w:t>
      </w:r>
    </w:p>
    <w:p w14:paraId="4E835CC0"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9"/>
        <w:contextualSpacing w:val="0"/>
        <w:rPr>
          <w:rFonts w:ascii="Arial" w:hAnsi="Arial" w:cs="Arial"/>
          <w:b/>
          <w:i/>
          <w:iCs/>
        </w:rPr>
      </w:pPr>
      <w:r w:rsidRPr="003604A5">
        <w:rPr>
          <w:rFonts w:ascii="Arial" w:hAnsi="Arial" w:cs="Arial"/>
          <w:b/>
          <w:i/>
          <w:iCs/>
        </w:rPr>
        <w:t>Local Government Act</w:t>
      </w:r>
      <w:r w:rsidRPr="003604A5">
        <w:rPr>
          <w:rFonts w:ascii="Arial" w:hAnsi="Arial" w:cs="Arial"/>
          <w:b/>
          <w:i/>
          <w:iCs/>
          <w:spacing w:val="-4"/>
        </w:rPr>
        <w:t xml:space="preserve"> </w:t>
      </w:r>
      <w:r w:rsidRPr="003604A5">
        <w:rPr>
          <w:rFonts w:ascii="Arial" w:hAnsi="Arial" w:cs="Arial"/>
          <w:b/>
          <w:i/>
          <w:iCs/>
        </w:rPr>
        <w:t>1995</w:t>
      </w:r>
    </w:p>
    <w:p w14:paraId="208A163B"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17"/>
        <w:contextualSpacing w:val="0"/>
        <w:rPr>
          <w:rFonts w:ascii="Arial" w:hAnsi="Arial" w:cs="Arial"/>
          <w:b/>
          <w:i/>
          <w:iCs/>
        </w:rPr>
      </w:pPr>
      <w:r w:rsidRPr="003604A5">
        <w:rPr>
          <w:rFonts w:ascii="Arial" w:hAnsi="Arial" w:cs="Arial"/>
          <w:b/>
          <w:i/>
          <w:iCs/>
        </w:rPr>
        <w:t>State Records Act</w:t>
      </w:r>
      <w:r w:rsidRPr="003604A5">
        <w:rPr>
          <w:rFonts w:ascii="Arial" w:hAnsi="Arial" w:cs="Arial"/>
          <w:b/>
          <w:i/>
          <w:iCs/>
          <w:spacing w:val="-3"/>
        </w:rPr>
        <w:t xml:space="preserve"> </w:t>
      </w:r>
      <w:r w:rsidRPr="003604A5">
        <w:rPr>
          <w:rFonts w:ascii="Arial" w:hAnsi="Arial" w:cs="Arial"/>
          <w:b/>
          <w:i/>
          <w:iCs/>
        </w:rPr>
        <w:t>2000</w:t>
      </w:r>
    </w:p>
    <w:p w14:paraId="6C839F29" w14:textId="77777777" w:rsidR="00495FD4" w:rsidRPr="003604A5" w:rsidRDefault="00495FD4" w:rsidP="00495FD4">
      <w:pPr>
        <w:pStyle w:val="ListParagraph"/>
        <w:widowControl w:val="0"/>
        <w:numPr>
          <w:ilvl w:val="2"/>
          <w:numId w:val="11"/>
        </w:numPr>
        <w:tabs>
          <w:tab w:val="left" w:pos="1927"/>
        </w:tabs>
        <w:kinsoku w:val="0"/>
        <w:overflowPunct w:val="0"/>
        <w:autoSpaceDE w:val="0"/>
        <w:autoSpaceDN w:val="0"/>
        <w:adjustRightInd w:val="0"/>
        <w:spacing w:before="120"/>
        <w:contextualSpacing w:val="0"/>
        <w:rPr>
          <w:rFonts w:ascii="Arial" w:hAnsi="Arial" w:cs="Arial"/>
          <w:b/>
          <w:i/>
          <w:iCs/>
        </w:rPr>
      </w:pPr>
      <w:r w:rsidRPr="003604A5">
        <w:rPr>
          <w:rFonts w:ascii="Arial" w:hAnsi="Arial" w:cs="Arial"/>
          <w:b/>
          <w:i/>
          <w:iCs/>
        </w:rPr>
        <w:t>Electronic Transactions Act</w:t>
      </w:r>
      <w:r w:rsidRPr="003604A5">
        <w:rPr>
          <w:rFonts w:ascii="Arial" w:hAnsi="Arial" w:cs="Arial"/>
          <w:b/>
          <w:i/>
          <w:iCs/>
          <w:spacing w:val="-2"/>
        </w:rPr>
        <w:t xml:space="preserve"> </w:t>
      </w:r>
      <w:r w:rsidRPr="003604A5">
        <w:rPr>
          <w:rFonts w:ascii="Arial" w:hAnsi="Arial" w:cs="Arial"/>
          <w:b/>
          <w:i/>
          <w:iCs/>
        </w:rPr>
        <w:t>2011</w:t>
      </w:r>
    </w:p>
    <w:p w14:paraId="107DDDE9" w14:textId="77777777" w:rsidR="00495FD4" w:rsidRPr="003604A5" w:rsidRDefault="00495FD4" w:rsidP="00495FD4">
      <w:pPr>
        <w:pStyle w:val="BodyText"/>
        <w:kinsoku w:val="0"/>
        <w:overflowPunct w:val="0"/>
        <w:spacing w:before="7"/>
        <w:rPr>
          <w:i/>
          <w:iCs/>
          <w:sz w:val="20"/>
          <w:szCs w:val="20"/>
        </w:rPr>
      </w:pPr>
    </w:p>
    <w:p w14:paraId="47B6EA6B" w14:textId="27D230AF" w:rsidR="00495FD4" w:rsidRPr="003604A5" w:rsidRDefault="00495FD4" w:rsidP="00427111">
      <w:pPr>
        <w:pStyle w:val="Heading1"/>
        <w:numPr>
          <w:ilvl w:val="1"/>
          <w:numId w:val="13"/>
        </w:numPr>
        <w:tabs>
          <w:tab w:val="left" w:pos="1358"/>
        </w:tabs>
        <w:kinsoku w:val="0"/>
        <w:overflowPunct w:val="0"/>
      </w:pPr>
      <w:r w:rsidRPr="003604A5">
        <w:t>Access:</w:t>
      </w:r>
    </w:p>
    <w:p w14:paraId="4F4BDC3E" w14:textId="77777777" w:rsidR="00495FD4" w:rsidRPr="003604A5" w:rsidRDefault="00495FD4" w:rsidP="00495FD4">
      <w:pPr>
        <w:pStyle w:val="BodyText"/>
        <w:kinsoku w:val="0"/>
        <w:overflowPunct w:val="0"/>
        <w:spacing w:before="9"/>
        <w:rPr>
          <w:b/>
          <w:bCs/>
          <w:sz w:val="20"/>
          <w:szCs w:val="20"/>
        </w:rPr>
      </w:pPr>
    </w:p>
    <w:p w14:paraId="2C4D1A68" w14:textId="1518F8FD" w:rsidR="00495FD4" w:rsidRPr="003604A5" w:rsidRDefault="00495FD4" w:rsidP="00495FD4">
      <w:pPr>
        <w:pStyle w:val="ListParagraph"/>
        <w:widowControl w:val="0"/>
        <w:numPr>
          <w:ilvl w:val="0"/>
          <w:numId w:val="10"/>
        </w:numPr>
        <w:tabs>
          <w:tab w:val="left" w:pos="1927"/>
        </w:tabs>
        <w:kinsoku w:val="0"/>
        <w:overflowPunct w:val="0"/>
        <w:autoSpaceDE w:val="0"/>
        <w:autoSpaceDN w:val="0"/>
        <w:adjustRightInd w:val="0"/>
        <w:ind w:right="119"/>
        <w:contextualSpacing w:val="0"/>
        <w:jc w:val="both"/>
        <w:rPr>
          <w:rFonts w:ascii="Arial" w:hAnsi="Arial" w:cs="Arial"/>
        </w:rPr>
      </w:pPr>
      <w:r w:rsidRPr="003604A5">
        <w:rPr>
          <w:rFonts w:ascii="Arial" w:hAnsi="Arial" w:cs="Arial"/>
        </w:rPr>
        <w:t xml:space="preserve">Access to corporate records by </w:t>
      </w:r>
      <w:r w:rsidR="001970AD">
        <w:rPr>
          <w:rFonts w:ascii="Arial" w:hAnsi="Arial" w:cs="Arial"/>
        </w:rPr>
        <w:t>MRC</w:t>
      </w:r>
      <w:r w:rsidRPr="003604A5">
        <w:rPr>
          <w:rFonts w:ascii="Arial" w:hAnsi="Arial" w:cs="Arial"/>
        </w:rPr>
        <w:t xml:space="preserve"> staff and contractors will be in accordance with designated access and security classifications, as determined by the Records </w:t>
      </w:r>
      <w:r w:rsidR="00330927" w:rsidRPr="003604A5">
        <w:rPr>
          <w:rFonts w:ascii="Arial" w:hAnsi="Arial" w:cs="Arial"/>
        </w:rPr>
        <w:t>Manager</w:t>
      </w:r>
      <w:r w:rsidRPr="003604A5">
        <w:rPr>
          <w:rFonts w:ascii="Arial" w:hAnsi="Arial" w:cs="Arial"/>
        </w:rPr>
        <w:t>.</w:t>
      </w:r>
    </w:p>
    <w:p w14:paraId="24FAC021" w14:textId="77777777" w:rsidR="00495FD4" w:rsidRPr="003604A5" w:rsidRDefault="00495FD4" w:rsidP="00495FD4">
      <w:pPr>
        <w:pStyle w:val="BodyText"/>
        <w:kinsoku w:val="0"/>
        <w:overflowPunct w:val="0"/>
        <w:rPr>
          <w:sz w:val="21"/>
          <w:szCs w:val="21"/>
        </w:rPr>
      </w:pPr>
    </w:p>
    <w:p w14:paraId="7B103095" w14:textId="7152A65B" w:rsidR="00495FD4" w:rsidRPr="003604A5" w:rsidRDefault="00495FD4" w:rsidP="005416F3">
      <w:pPr>
        <w:pStyle w:val="ListParagraph"/>
        <w:widowControl w:val="0"/>
        <w:numPr>
          <w:ilvl w:val="0"/>
          <w:numId w:val="10"/>
        </w:numPr>
        <w:tabs>
          <w:tab w:val="left" w:pos="1927"/>
        </w:tabs>
        <w:kinsoku w:val="0"/>
        <w:overflowPunct w:val="0"/>
        <w:autoSpaceDE w:val="0"/>
        <w:autoSpaceDN w:val="0"/>
        <w:adjustRightInd w:val="0"/>
        <w:spacing w:before="1" w:line="252" w:lineRule="exact"/>
        <w:contextualSpacing w:val="0"/>
        <w:rPr>
          <w:rFonts w:ascii="Arial" w:hAnsi="Arial" w:cs="Arial"/>
        </w:rPr>
      </w:pPr>
      <w:r w:rsidRPr="003604A5">
        <w:rPr>
          <w:rFonts w:ascii="Arial" w:hAnsi="Arial" w:cs="Arial"/>
        </w:rPr>
        <w:t>Access</w:t>
      </w:r>
      <w:r w:rsidRPr="001970AD">
        <w:rPr>
          <w:rFonts w:ascii="Arial" w:hAnsi="Arial" w:cs="Arial"/>
          <w:spacing w:val="38"/>
        </w:rPr>
        <w:t xml:space="preserve"> </w:t>
      </w:r>
      <w:r w:rsidRPr="003604A5">
        <w:rPr>
          <w:rFonts w:ascii="Arial" w:hAnsi="Arial" w:cs="Arial"/>
        </w:rPr>
        <w:t>to</w:t>
      </w:r>
      <w:r w:rsidRPr="001970AD">
        <w:rPr>
          <w:rFonts w:ascii="Arial" w:hAnsi="Arial" w:cs="Arial"/>
          <w:spacing w:val="38"/>
        </w:rPr>
        <w:t xml:space="preserve"> </w:t>
      </w:r>
      <w:r w:rsidRPr="003604A5">
        <w:rPr>
          <w:rFonts w:ascii="Arial" w:hAnsi="Arial" w:cs="Arial"/>
        </w:rPr>
        <w:t>corporate</w:t>
      </w:r>
      <w:r w:rsidRPr="001970AD">
        <w:rPr>
          <w:rFonts w:ascii="Arial" w:hAnsi="Arial" w:cs="Arial"/>
          <w:spacing w:val="38"/>
        </w:rPr>
        <w:t xml:space="preserve"> </w:t>
      </w:r>
      <w:r w:rsidRPr="003604A5">
        <w:rPr>
          <w:rFonts w:ascii="Arial" w:hAnsi="Arial" w:cs="Arial"/>
        </w:rPr>
        <w:t>records</w:t>
      </w:r>
      <w:r w:rsidRPr="001970AD">
        <w:rPr>
          <w:rFonts w:ascii="Arial" w:hAnsi="Arial" w:cs="Arial"/>
          <w:spacing w:val="43"/>
        </w:rPr>
        <w:t xml:space="preserve"> </w:t>
      </w:r>
      <w:r w:rsidRPr="003604A5">
        <w:rPr>
          <w:rFonts w:ascii="Arial" w:hAnsi="Arial" w:cs="Arial"/>
        </w:rPr>
        <w:t>by</w:t>
      </w:r>
      <w:r w:rsidRPr="001970AD">
        <w:rPr>
          <w:rFonts w:ascii="Arial" w:hAnsi="Arial" w:cs="Arial"/>
          <w:spacing w:val="35"/>
        </w:rPr>
        <w:t xml:space="preserve"> </w:t>
      </w:r>
      <w:r w:rsidRPr="003604A5">
        <w:rPr>
          <w:rFonts w:ascii="Arial" w:hAnsi="Arial" w:cs="Arial"/>
        </w:rPr>
        <w:t>the</w:t>
      </w:r>
      <w:r w:rsidRPr="001970AD">
        <w:rPr>
          <w:rFonts w:ascii="Arial" w:hAnsi="Arial" w:cs="Arial"/>
          <w:spacing w:val="35"/>
        </w:rPr>
        <w:t xml:space="preserve"> </w:t>
      </w:r>
      <w:r w:rsidRPr="003604A5">
        <w:rPr>
          <w:rFonts w:ascii="Arial" w:hAnsi="Arial" w:cs="Arial"/>
        </w:rPr>
        <w:t>general</w:t>
      </w:r>
      <w:r w:rsidRPr="001970AD">
        <w:rPr>
          <w:rFonts w:ascii="Arial" w:hAnsi="Arial" w:cs="Arial"/>
          <w:spacing w:val="37"/>
        </w:rPr>
        <w:t xml:space="preserve"> </w:t>
      </w:r>
      <w:r w:rsidRPr="003604A5">
        <w:rPr>
          <w:rFonts w:ascii="Arial" w:hAnsi="Arial" w:cs="Arial"/>
        </w:rPr>
        <w:t>public</w:t>
      </w:r>
      <w:r w:rsidRPr="001970AD">
        <w:rPr>
          <w:rFonts w:ascii="Arial" w:hAnsi="Arial" w:cs="Arial"/>
          <w:spacing w:val="40"/>
        </w:rPr>
        <w:t xml:space="preserve"> </w:t>
      </w:r>
      <w:r w:rsidRPr="003604A5">
        <w:rPr>
          <w:rFonts w:ascii="Arial" w:hAnsi="Arial" w:cs="Arial"/>
        </w:rPr>
        <w:t>will</w:t>
      </w:r>
      <w:r w:rsidRPr="001970AD">
        <w:rPr>
          <w:rFonts w:ascii="Arial" w:hAnsi="Arial" w:cs="Arial"/>
          <w:spacing w:val="39"/>
        </w:rPr>
        <w:t xml:space="preserve"> </w:t>
      </w:r>
      <w:r w:rsidRPr="003604A5">
        <w:rPr>
          <w:rFonts w:ascii="Arial" w:hAnsi="Arial" w:cs="Arial"/>
        </w:rPr>
        <w:t>be</w:t>
      </w:r>
      <w:r w:rsidRPr="001970AD">
        <w:rPr>
          <w:rFonts w:ascii="Arial" w:hAnsi="Arial" w:cs="Arial"/>
          <w:spacing w:val="39"/>
        </w:rPr>
        <w:t xml:space="preserve"> </w:t>
      </w:r>
      <w:r w:rsidRPr="003604A5">
        <w:rPr>
          <w:rFonts w:ascii="Arial" w:hAnsi="Arial" w:cs="Arial"/>
        </w:rPr>
        <w:t>in</w:t>
      </w:r>
      <w:r w:rsidRPr="001970AD">
        <w:rPr>
          <w:rFonts w:ascii="Arial" w:hAnsi="Arial" w:cs="Arial"/>
          <w:spacing w:val="41"/>
        </w:rPr>
        <w:t xml:space="preserve"> </w:t>
      </w:r>
      <w:r w:rsidRPr="003604A5">
        <w:rPr>
          <w:rFonts w:ascii="Arial" w:hAnsi="Arial" w:cs="Arial"/>
        </w:rPr>
        <w:t>accordance</w:t>
      </w:r>
      <w:r w:rsidRPr="001970AD">
        <w:rPr>
          <w:rFonts w:ascii="Arial" w:hAnsi="Arial" w:cs="Arial"/>
          <w:spacing w:val="40"/>
        </w:rPr>
        <w:t xml:space="preserve"> </w:t>
      </w:r>
      <w:r w:rsidRPr="003604A5">
        <w:rPr>
          <w:rFonts w:ascii="Arial" w:hAnsi="Arial" w:cs="Arial"/>
        </w:rPr>
        <w:t>with</w:t>
      </w:r>
      <w:r w:rsidRPr="001970AD">
        <w:rPr>
          <w:rFonts w:ascii="Arial" w:hAnsi="Arial" w:cs="Arial"/>
          <w:spacing w:val="40"/>
        </w:rPr>
        <w:t xml:space="preserve"> </w:t>
      </w:r>
      <w:r w:rsidRPr="003604A5">
        <w:rPr>
          <w:rFonts w:ascii="Arial" w:hAnsi="Arial" w:cs="Arial"/>
        </w:rPr>
        <w:t>the</w:t>
      </w:r>
      <w:r w:rsidR="001970AD">
        <w:rPr>
          <w:rFonts w:ascii="Arial" w:hAnsi="Arial" w:cs="Arial"/>
        </w:rPr>
        <w:t xml:space="preserve"> </w:t>
      </w:r>
      <w:r w:rsidRPr="001970AD">
        <w:rPr>
          <w:rFonts w:ascii="Arial" w:hAnsi="Arial" w:cs="Arial"/>
          <w:i/>
          <w:iCs/>
        </w:rPr>
        <w:t>Freedom of Information Act 1992</w:t>
      </w:r>
      <w:r w:rsidRPr="003604A5">
        <w:rPr>
          <w:rFonts w:ascii="Arial" w:hAnsi="Arial" w:cs="Arial"/>
        </w:rPr>
        <w:t>.</w:t>
      </w:r>
    </w:p>
    <w:p w14:paraId="3724D112" w14:textId="77777777" w:rsidR="00495FD4" w:rsidRPr="003604A5" w:rsidRDefault="00495FD4" w:rsidP="00495FD4">
      <w:pPr>
        <w:pStyle w:val="BodyText"/>
        <w:kinsoku w:val="0"/>
        <w:overflowPunct w:val="0"/>
        <w:spacing w:before="8"/>
        <w:rPr>
          <w:sz w:val="20"/>
          <w:szCs w:val="20"/>
        </w:rPr>
      </w:pPr>
    </w:p>
    <w:p w14:paraId="1A756CA5" w14:textId="351C610F" w:rsidR="00495FD4" w:rsidRPr="003604A5" w:rsidRDefault="00495FD4" w:rsidP="00495FD4">
      <w:pPr>
        <w:pStyle w:val="ListParagraph"/>
        <w:widowControl w:val="0"/>
        <w:numPr>
          <w:ilvl w:val="0"/>
          <w:numId w:val="10"/>
        </w:numPr>
        <w:tabs>
          <w:tab w:val="left" w:pos="1927"/>
        </w:tabs>
        <w:kinsoku w:val="0"/>
        <w:overflowPunct w:val="0"/>
        <w:autoSpaceDE w:val="0"/>
        <w:autoSpaceDN w:val="0"/>
        <w:adjustRightInd w:val="0"/>
        <w:spacing w:before="1"/>
        <w:ind w:right="116"/>
        <w:contextualSpacing w:val="0"/>
        <w:jc w:val="both"/>
        <w:rPr>
          <w:rFonts w:ascii="Arial" w:hAnsi="Arial" w:cs="Arial"/>
        </w:rPr>
      </w:pPr>
      <w:r w:rsidRPr="003604A5">
        <w:rPr>
          <w:rFonts w:ascii="Arial" w:hAnsi="Arial" w:cs="Arial"/>
        </w:rPr>
        <w:t xml:space="preserve">Access to corporate records by MRC Councillors will be via the Chief Executive Officer in accordance with Section 5.92 of the </w:t>
      </w:r>
      <w:r w:rsidRPr="003604A5">
        <w:rPr>
          <w:rFonts w:ascii="Arial" w:hAnsi="Arial" w:cs="Arial"/>
          <w:i/>
          <w:iCs/>
        </w:rPr>
        <w:t>Local Government Act</w:t>
      </w:r>
      <w:r w:rsidRPr="003604A5">
        <w:rPr>
          <w:rFonts w:ascii="Arial" w:hAnsi="Arial" w:cs="Arial"/>
          <w:i/>
          <w:iCs/>
          <w:spacing w:val="3"/>
        </w:rPr>
        <w:t xml:space="preserve"> </w:t>
      </w:r>
      <w:r w:rsidRPr="003604A5">
        <w:rPr>
          <w:rFonts w:ascii="Arial" w:hAnsi="Arial" w:cs="Arial"/>
          <w:i/>
          <w:iCs/>
        </w:rPr>
        <w:t>1995</w:t>
      </w:r>
      <w:r w:rsidRPr="003604A5">
        <w:rPr>
          <w:rFonts w:ascii="Arial" w:hAnsi="Arial" w:cs="Arial"/>
        </w:rPr>
        <w:t>.</w:t>
      </w:r>
    </w:p>
    <w:p w14:paraId="25D5A5E6" w14:textId="77777777" w:rsidR="00495FD4" w:rsidRPr="003604A5" w:rsidRDefault="00495FD4" w:rsidP="00495FD4">
      <w:pPr>
        <w:pStyle w:val="BodyText"/>
        <w:kinsoku w:val="0"/>
        <w:overflowPunct w:val="0"/>
        <w:rPr>
          <w:sz w:val="21"/>
          <w:szCs w:val="21"/>
        </w:rPr>
      </w:pPr>
    </w:p>
    <w:p w14:paraId="104A25A0" w14:textId="77777777" w:rsidR="00495FD4" w:rsidRPr="003604A5" w:rsidRDefault="00495FD4" w:rsidP="00427111">
      <w:pPr>
        <w:pStyle w:val="Heading1"/>
        <w:numPr>
          <w:ilvl w:val="1"/>
          <w:numId w:val="13"/>
        </w:numPr>
        <w:tabs>
          <w:tab w:val="left" w:pos="1358"/>
        </w:tabs>
        <w:kinsoku w:val="0"/>
        <w:overflowPunct w:val="0"/>
      </w:pPr>
      <w:r w:rsidRPr="003604A5">
        <w:t>Destruction:</w:t>
      </w:r>
    </w:p>
    <w:p w14:paraId="07922007" w14:textId="77777777" w:rsidR="00495FD4" w:rsidRPr="003604A5" w:rsidRDefault="00495FD4" w:rsidP="00495FD4">
      <w:pPr>
        <w:pStyle w:val="BodyText"/>
        <w:kinsoku w:val="0"/>
        <w:overflowPunct w:val="0"/>
        <w:spacing w:before="9"/>
        <w:rPr>
          <w:b/>
          <w:bCs/>
          <w:sz w:val="20"/>
          <w:szCs w:val="20"/>
        </w:rPr>
      </w:pPr>
    </w:p>
    <w:p w14:paraId="0BE3692A" w14:textId="720A3C26" w:rsidR="00495FD4" w:rsidRPr="003604A5" w:rsidRDefault="00495FD4" w:rsidP="00495FD4">
      <w:pPr>
        <w:pStyle w:val="BodyText"/>
        <w:kinsoku w:val="0"/>
        <w:overflowPunct w:val="0"/>
        <w:ind w:left="1358" w:right="117"/>
        <w:jc w:val="both"/>
      </w:pPr>
      <w:r w:rsidRPr="003604A5">
        <w:t xml:space="preserve">The Records Manager coordinates an annual disposal program of corporate records in accordance with the </w:t>
      </w:r>
      <w:r w:rsidRPr="003604A5">
        <w:rPr>
          <w:i/>
          <w:iCs/>
        </w:rPr>
        <w:t>General Disposal Authority for Local Government Records</w:t>
      </w:r>
      <w:r w:rsidR="001D5B4C">
        <w:rPr>
          <w:i/>
          <w:iCs/>
        </w:rPr>
        <w:t>,</w:t>
      </w:r>
      <w:r w:rsidRPr="003604A5">
        <w:rPr>
          <w:i/>
          <w:iCs/>
        </w:rPr>
        <w:t xml:space="preserve"> </w:t>
      </w:r>
      <w:r w:rsidRPr="003604A5">
        <w:t>the Chief Executive Officer provides the final authorisation for the disposal of corporate records.</w:t>
      </w:r>
    </w:p>
    <w:p w14:paraId="2E4621B6" w14:textId="77777777" w:rsidR="00495FD4" w:rsidRPr="003604A5" w:rsidRDefault="00495FD4" w:rsidP="00495FD4">
      <w:pPr>
        <w:pStyle w:val="BodyText"/>
        <w:kinsoku w:val="0"/>
        <w:overflowPunct w:val="0"/>
        <w:spacing w:before="10"/>
        <w:rPr>
          <w:sz w:val="20"/>
          <w:szCs w:val="20"/>
        </w:rPr>
      </w:pPr>
    </w:p>
    <w:p w14:paraId="53881876" w14:textId="77777777" w:rsidR="00495FD4" w:rsidRPr="003604A5" w:rsidRDefault="00495FD4" w:rsidP="00427111">
      <w:pPr>
        <w:pStyle w:val="Heading1"/>
        <w:numPr>
          <w:ilvl w:val="1"/>
          <w:numId w:val="13"/>
        </w:numPr>
        <w:tabs>
          <w:tab w:val="left" w:pos="1358"/>
        </w:tabs>
        <w:kinsoku w:val="0"/>
        <w:overflowPunct w:val="0"/>
      </w:pPr>
      <w:r w:rsidRPr="003604A5">
        <w:t>Ephemeral</w:t>
      </w:r>
      <w:r w:rsidRPr="003604A5">
        <w:rPr>
          <w:spacing w:val="-1"/>
        </w:rPr>
        <w:t xml:space="preserve"> </w:t>
      </w:r>
      <w:r w:rsidRPr="003604A5">
        <w:t>Records:</w:t>
      </w:r>
    </w:p>
    <w:p w14:paraId="271F3C70" w14:textId="77777777" w:rsidR="00495FD4" w:rsidRPr="003604A5" w:rsidRDefault="00495FD4" w:rsidP="00495FD4">
      <w:pPr>
        <w:pStyle w:val="BodyText"/>
        <w:kinsoku w:val="0"/>
        <w:overflowPunct w:val="0"/>
        <w:rPr>
          <w:b/>
          <w:bCs/>
          <w:sz w:val="21"/>
          <w:szCs w:val="21"/>
        </w:rPr>
      </w:pPr>
    </w:p>
    <w:p w14:paraId="745E58CB" w14:textId="05DE99A8" w:rsidR="00495FD4" w:rsidRPr="003604A5" w:rsidRDefault="00495FD4" w:rsidP="00495FD4">
      <w:pPr>
        <w:pStyle w:val="BodyText"/>
        <w:kinsoku w:val="0"/>
        <w:overflowPunct w:val="0"/>
        <w:ind w:left="1358" w:right="118"/>
        <w:jc w:val="both"/>
      </w:pPr>
      <w:r w:rsidRPr="003604A5">
        <w:t xml:space="preserve">Ephemeral records may not be required to be placed within the </w:t>
      </w:r>
      <w:r w:rsidR="001970AD">
        <w:t>MRC</w:t>
      </w:r>
      <w:r w:rsidRPr="003604A5">
        <w:t>’s official recordkeeping systems. Elected Members, staff or contractors may dispose of such ephemeral records once reference</w:t>
      </w:r>
      <w:r w:rsidRPr="003604A5">
        <w:rPr>
          <w:spacing w:val="-4"/>
        </w:rPr>
        <w:t xml:space="preserve"> </w:t>
      </w:r>
      <w:r w:rsidRPr="003604A5">
        <w:t>ceases.</w:t>
      </w:r>
    </w:p>
    <w:p w14:paraId="62816838" w14:textId="758C1CC3" w:rsidR="00495FD4" w:rsidRPr="003604A5" w:rsidRDefault="00495FD4" w:rsidP="00495FD4">
      <w:pPr>
        <w:pStyle w:val="BodyText"/>
        <w:kinsoku w:val="0"/>
        <w:overflowPunct w:val="0"/>
        <w:spacing w:before="9"/>
        <w:rPr>
          <w:sz w:val="20"/>
          <w:szCs w:val="20"/>
        </w:rPr>
      </w:pPr>
    </w:p>
    <w:p w14:paraId="1B38554F" w14:textId="5B2D83E6" w:rsidR="00755B45" w:rsidRPr="003604A5" w:rsidRDefault="00755B45" w:rsidP="00495FD4">
      <w:pPr>
        <w:pStyle w:val="BodyText"/>
        <w:kinsoku w:val="0"/>
        <w:overflowPunct w:val="0"/>
        <w:spacing w:before="9"/>
        <w:rPr>
          <w:sz w:val="20"/>
          <w:szCs w:val="20"/>
        </w:rPr>
      </w:pPr>
    </w:p>
    <w:p w14:paraId="7C2A0457" w14:textId="72F56C1F" w:rsidR="00755B45" w:rsidRPr="003604A5" w:rsidRDefault="00755B45" w:rsidP="00495FD4">
      <w:pPr>
        <w:pStyle w:val="BodyText"/>
        <w:kinsoku w:val="0"/>
        <w:overflowPunct w:val="0"/>
        <w:spacing w:before="9"/>
        <w:rPr>
          <w:sz w:val="20"/>
          <w:szCs w:val="20"/>
        </w:rPr>
      </w:pPr>
    </w:p>
    <w:p w14:paraId="4C41DE77" w14:textId="16006927" w:rsidR="00755B45" w:rsidRPr="003604A5" w:rsidRDefault="00755B45" w:rsidP="00495FD4">
      <w:pPr>
        <w:pStyle w:val="BodyText"/>
        <w:kinsoku w:val="0"/>
        <w:overflowPunct w:val="0"/>
        <w:spacing w:before="9"/>
        <w:rPr>
          <w:sz w:val="20"/>
          <w:szCs w:val="20"/>
        </w:rPr>
      </w:pPr>
    </w:p>
    <w:p w14:paraId="28CEC28E" w14:textId="1F0A7CB5" w:rsidR="00755B45" w:rsidRPr="003604A5" w:rsidRDefault="00755B45" w:rsidP="00495FD4">
      <w:pPr>
        <w:pStyle w:val="BodyText"/>
        <w:kinsoku w:val="0"/>
        <w:overflowPunct w:val="0"/>
        <w:spacing w:before="9"/>
        <w:rPr>
          <w:sz w:val="20"/>
          <w:szCs w:val="20"/>
        </w:rPr>
      </w:pPr>
    </w:p>
    <w:p w14:paraId="705EEB4A" w14:textId="0475774A" w:rsidR="00755B45" w:rsidRPr="003604A5" w:rsidRDefault="00755B45" w:rsidP="00495FD4">
      <w:pPr>
        <w:pStyle w:val="BodyText"/>
        <w:kinsoku w:val="0"/>
        <w:overflowPunct w:val="0"/>
        <w:spacing w:before="9"/>
        <w:rPr>
          <w:sz w:val="20"/>
          <w:szCs w:val="20"/>
        </w:rPr>
      </w:pPr>
    </w:p>
    <w:p w14:paraId="296DF9AC" w14:textId="7B100044" w:rsidR="00755B45" w:rsidRPr="003604A5" w:rsidRDefault="00755B45" w:rsidP="00495FD4">
      <w:pPr>
        <w:pStyle w:val="BodyText"/>
        <w:kinsoku w:val="0"/>
        <w:overflowPunct w:val="0"/>
        <w:spacing w:before="9"/>
        <w:rPr>
          <w:sz w:val="20"/>
          <w:szCs w:val="20"/>
        </w:rPr>
      </w:pPr>
    </w:p>
    <w:p w14:paraId="2FE7272B" w14:textId="51D656D7" w:rsidR="00755B45" w:rsidRPr="003604A5" w:rsidRDefault="00755B45" w:rsidP="00495FD4">
      <w:pPr>
        <w:pStyle w:val="BodyText"/>
        <w:kinsoku w:val="0"/>
        <w:overflowPunct w:val="0"/>
        <w:spacing w:before="9"/>
        <w:rPr>
          <w:sz w:val="20"/>
          <w:szCs w:val="20"/>
        </w:rPr>
      </w:pPr>
    </w:p>
    <w:p w14:paraId="26CE551E" w14:textId="54A41FA9" w:rsidR="00755B45" w:rsidRPr="003604A5" w:rsidRDefault="00755B45" w:rsidP="00495FD4">
      <w:pPr>
        <w:pStyle w:val="BodyText"/>
        <w:kinsoku w:val="0"/>
        <w:overflowPunct w:val="0"/>
        <w:spacing w:before="9"/>
        <w:rPr>
          <w:sz w:val="20"/>
          <w:szCs w:val="20"/>
        </w:rPr>
      </w:pPr>
    </w:p>
    <w:p w14:paraId="375F8657" w14:textId="66B17951" w:rsidR="00755B45" w:rsidRPr="003604A5" w:rsidRDefault="00755B45" w:rsidP="00495FD4">
      <w:pPr>
        <w:pStyle w:val="BodyText"/>
        <w:kinsoku w:val="0"/>
        <w:overflowPunct w:val="0"/>
        <w:spacing w:before="9"/>
        <w:rPr>
          <w:sz w:val="20"/>
          <w:szCs w:val="20"/>
        </w:rPr>
      </w:pPr>
    </w:p>
    <w:p w14:paraId="1CDC8D71" w14:textId="45A2600C" w:rsidR="00755B45" w:rsidRDefault="00755B45" w:rsidP="00495FD4">
      <w:pPr>
        <w:pStyle w:val="BodyText"/>
        <w:kinsoku w:val="0"/>
        <w:overflowPunct w:val="0"/>
        <w:spacing w:before="9"/>
        <w:rPr>
          <w:sz w:val="20"/>
          <w:szCs w:val="20"/>
        </w:rPr>
      </w:pPr>
    </w:p>
    <w:p w14:paraId="19880B95" w14:textId="77777777" w:rsidR="00495FD4" w:rsidRPr="003604A5" w:rsidRDefault="00495FD4" w:rsidP="00427111">
      <w:pPr>
        <w:pStyle w:val="Heading1"/>
        <w:numPr>
          <w:ilvl w:val="1"/>
          <w:numId w:val="13"/>
        </w:numPr>
        <w:tabs>
          <w:tab w:val="left" w:pos="1358"/>
        </w:tabs>
        <w:kinsoku w:val="0"/>
        <w:overflowPunct w:val="0"/>
      </w:pPr>
      <w:r w:rsidRPr="003604A5">
        <w:t>Training and</w:t>
      </w:r>
      <w:r w:rsidRPr="003604A5">
        <w:rPr>
          <w:spacing w:val="-1"/>
        </w:rPr>
        <w:t xml:space="preserve"> </w:t>
      </w:r>
      <w:r w:rsidRPr="003604A5">
        <w:t>Education:</w:t>
      </w:r>
    </w:p>
    <w:p w14:paraId="13310170" w14:textId="77777777" w:rsidR="00495FD4" w:rsidRPr="003604A5" w:rsidRDefault="00495FD4" w:rsidP="00495FD4">
      <w:pPr>
        <w:pStyle w:val="BodyText"/>
        <w:kinsoku w:val="0"/>
        <w:overflowPunct w:val="0"/>
        <w:spacing w:before="9"/>
        <w:rPr>
          <w:b/>
          <w:bCs/>
          <w:sz w:val="20"/>
          <w:szCs w:val="20"/>
        </w:rPr>
      </w:pPr>
    </w:p>
    <w:p w14:paraId="5A10E2E7" w14:textId="19E890CA" w:rsidR="00495FD4" w:rsidRPr="003604A5" w:rsidRDefault="00495FD4" w:rsidP="00495FD4">
      <w:pPr>
        <w:pStyle w:val="BodyText"/>
        <w:kinsoku w:val="0"/>
        <w:overflowPunct w:val="0"/>
        <w:ind w:left="1358" w:right="118"/>
        <w:jc w:val="both"/>
      </w:pPr>
      <w:r w:rsidRPr="003604A5">
        <w:t xml:space="preserve">Training in recordkeeping practices and the use of the </w:t>
      </w:r>
      <w:r w:rsidR="00330927" w:rsidRPr="003604A5">
        <w:t>MRC’s</w:t>
      </w:r>
      <w:r w:rsidRPr="003604A5">
        <w:t xml:space="preserve"> </w:t>
      </w:r>
      <w:r w:rsidR="00330927" w:rsidRPr="003604A5">
        <w:t xml:space="preserve">electronic </w:t>
      </w:r>
      <w:r w:rsidRPr="003604A5">
        <w:t>documen</w:t>
      </w:r>
      <w:r w:rsidR="00330927" w:rsidRPr="003604A5">
        <w:t>t and records management system</w:t>
      </w:r>
      <w:r w:rsidRPr="003604A5">
        <w:t xml:space="preserve"> is available to all newcomers upon commencement and ongoing training is available upon request to the Records Manager.</w:t>
      </w:r>
    </w:p>
    <w:p w14:paraId="54DDA11E" w14:textId="77777777" w:rsidR="00495FD4" w:rsidRPr="003604A5" w:rsidRDefault="00495FD4" w:rsidP="00495FD4">
      <w:pPr>
        <w:pStyle w:val="BodyText"/>
        <w:kinsoku w:val="0"/>
        <w:overflowPunct w:val="0"/>
        <w:spacing w:before="1"/>
        <w:rPr>
          <w:sz w:val="21"/>
          <w:szCs w:val="21"/>
        </w:rPr>
      </w:pPr>
    </w:p>
    <w:p w14:paraId="557AD6A3" w14:textId="4BA62A74" w:rsidR="00495FD4" w:rsidRPr="003604A5" w:rsidRDefault="00495FD4" w:rsidP="00495FD4">
      <w:pPr>
        <w:pStyle w:val="BodyText"/>
        <w:kinsoku w:val="0"/>
        <w:overflowPunct w:val="0"/>
        <w:ind w:left="1358" w:right="122"/>
        <w:jc w:val="both"/>
      </w:pPr>
      <w:r w:rsidRPr="003604A5">
        <w:t>MRC Councillors are made aware of their recordkeeping responsibilities as part of the Elected Member Induction Program with their respective Councils and also reminded of obligations when on boarded onto the MRC.</w:t>
      </w:r>
    </w:p>
    <w:p w14:paraId="4E7F1B35" w14:textId="77777777" w:rsidR="00C45874" w:rsidRDefault="00C45874" w:rsidP="00495FD4"/>
    <w:p w14:paraId="275886ED" w14:textId="77777777" w:rsidR="00C45874" w:rsidRDefault="00C45874" w:rsidP="00495FD4"/>
    <w:p w14:paraId="5E25FFBA" w14:textId="77777777" w:rsidR="00C45874" w:rsidRDefault="00C45874" w:rsidP="00495FD4"/>
    <w:p w14:paraId="40BA9FB1" w14:textId="77777777" w:rsidR="00C45874" w:rsidRDefault="00C45874" w:rsidP="00495FD4"/>
    <w:p w14:paraId="516A9B7C" w14:textId="77777777" w:rsidR="00C45874" w:rsidRDefault="00C45874" w:rsidP="00495FD4"/>
    <w:p w14:paraId="6871E3B8" w14:textId="77777777" w:rsidR="00C45874" w:rsidRDefault="00C45874" w:rsidP="00495FD4"/>
    <w:p w14:paraId="6D1CCB05" w14:textId="77777777" w:rsidR="00C45874" w:rsidRDefault="00C45874" w:rsidP="00495FD4"/>
    <w:p w14:paraId="2983A26E" w14:textId="7439EBED" w:rsidR="00495FD4" w:rsidRDefault="00495FD4" w:rsidP="00495FD4">
      <w:r>
        <w:rPr>
          <w:noProof/>
        </w:rPr>
        <mc:AlternateContent>
          <mc:Choice Requires="wpg">
            <w:drawing>
              <wp:anchor distT="0" distB="0" distL="114300" distR="114300" simplePos="0" relativeHeight="251659264" behindDoc="0" locked="0" layoutInCell="0" allowOverlap="1" wp14:anchorId="4BEABC24" wp14:editId="2DB51EA7">
                <wp:simplePos x="0" y="0"/>
                <wp:positionH relativeFrom="page">
                  <wp:posOffset>543560</wp:posOffset>
                </wp:positionH>
                <wp:positionV relativeFrom="page">
                  <wp:posOffset>900430</wp:posOffset>
                </wp:positionV>
                <wp:extent cx="6475095" cy="18415"/>
                <wp:effectExtent l="10160" t="5080" r="1079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18415"/>
                          <a:chOff x="856" y="1418"/>
                          <a:chExt cx="10197" cy="29"/>
                        </a:xfrm>
                      </wpg:grpSpPr>
                      <wps:wsp>
                        <wps:cNvPr id="2" name="Freeform 3"/>
                        <wps:cNvSpPr>
                          <a:spLocks/>
                        </wps:cNvSpPr>
                        <wps:spPr bwMode="auto">
                          <a:xfrm>
                            <a:off x="856" y="1432"/>
                            <a:ext cx="2802" cy="20"/>
                          </a:xfrm>
                          <a:custGeom>
                            <a:avLst/>
                            <a:gdLst>
                              <a:gd name="T0" fmla="*/ 0 w 2802"/>
                              <a:gd name="T1" fmla="*/ 0 h 20"/>
                              <a:gd name="T2" fmla="*/ 2801 w 2802"/>
                              <a:gd name="T3" fmla="*/ 0 h 20"/>
                            </a:gdLst>
                            <a:ahLst/>
                            <a:cxnLst>
                              <a:cxn ang="0">
                                <a:pos x="T0" y="T1"/>
                              </a:cxn>
                              <a:cxn ang="0">
                                <a:pos x="T2" y="T3"/>
                              </a:cxn>
                            </a:cxnLst>
                            <a:rect l="0" t="0" r="r" b="b"/>
                            <a:pathLst>
                              <a:path w="2802" h="20">
                                <a:moveTo>
                                  <a:pt x="0" y="0"/>
                                </a:moveTo>
                                <a:lnTo>
                                  <a:pt x="2801" y="0"/>
                                </a:lnTo>
                              </a:path>
                            </a:pathLst>
                          </a:custGeom>
                          <a:noFill/>
                          <a:ln w="18288">
                            <a:solidFill>
                              <a:srgbClr val="0046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3657" y="141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4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686" y="1432"/>
                            <a:ext cx="7367" cy="20"/>
                          </a:xfrm>
                          <a:custGeom>
                            <a:avLst/>
                            <a:gdLst>
                              <a:gd name="T0" fmla="*/ 0 w 7367"/>
                              <a:gd name="T1" fmla="*/ 0 h 20"/>
                              <a:gd name="T2" fmla="*/ 7367 w 7367"/>
                              <a:gd name="T3" fmla="*/ 0 h 20"/>
                            </a:gdLst>
                            <a:ahLst/>
                            <a:cxnLst>
                              <a:cxn ang="0">
                                <a:pos x="T0" y="T1"/>
                              </a:cxn>
                              <a:cxn ang="0">
                                <a:pos x="T2" y="T3"/>
                              </a:cxn>
                            </a:cxnLst>
                            <a:rect l="0" t="0" r="r" b="b"/>
                            <a:pathLst>
                              <a:path w="7367" h="20">
                                <a:moveTo>
                                  <a:pt x="0" y="0"/>
                                </a:moveTo>
                                <a:lnTo>
                                  <a:pt x="7367" y="0"/>
                                </a:lnTo>
                              </a:path>
                            </a:pathLst>
                          </a:custGeom>
                          <a:noFill/>
                          <a:ln w="18288">
                            <a:solidFill>
                              <a:srgbClr val="0046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1052C" id="Group 1" o:spid="_x0000_s1026" style="position:absolute;margin-left:42.8pt;margin-top:70.9pt;width:509.85pt;height:1.45pt;z-index:251659264;mso-position-horizontal-relative:page;mso-position-vertical-relative:page" coordorigin="856,1418" coordsize="10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" o:allowincell="f">
                <v:shape id="Freeform 3" o:spid="_x0000_s1027" style="position:absolute;left:856;top:1432;width:2802;height:20;visibility:visible;mso-wrap-style:square;v-text-anchor:top" coordsize="2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" path="m,l2801,e" filled="f" strokecolor="#004650" strokeweight="1.44pt">
                  <v:path arrowok="t" o:connecttype="custom" o:connectlocs="0,0;2801,0" o:connectangles="0,0"/>
                </v:shape>
                <v:shape id="Freeform 4" o:spid="_x0000_s1028" style="position:absolute;left:3657;top:1418;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" path="m,28r28,l28,,,,,28xe" fillcolor="#004650" stroked="f">
                  <v:path arrowok="t" o:connecttype="custom" o:connectlocs="0,28;28,28;28,0;0,0;0,28" o:connectangles="0,0,0,0,0"/>
                </v:shape>
                <v:shape id="Freeform 5" o:spid="_x0000_s1029" style="position:absolute;left:3686;top:1432;width:7367;height:20;visibility:visible;mso-wrap-style:square;v-text-anchor:top" coordsize="73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" path="m,l7367,e" filled="f" strokecolor="#004650" strokeweight="1.44pt">
                  <v:path arrowok="t" o:connecttype="custom" o:connectlocs="0,0;7367,0" o:connectangles="0,0"/>
                </v:shape>
                <w10:wrap anchorx="page" anchory="page"/>
              </v:group>
            </w:pict>
          </mc:Fallback>
        </mc:AlternateContent>
      </w:r>
    </w:p>
    <w:p w14:paraId="34E189F2" w14:textId="77777777" w:rsidR="00495FD4" w:rsidRPr="009E5317" w:rsidRDefault="00495FD4" w:rsidP="00C85B66">
      <w:pPr>
        <w:jc w:val="both"/>
        <w:rPr>
          <w:rFonts w:cs="Arial"/>
        </w:rPr>
      </w:pPr>
    </w:p>
    <w:p w14:paraId="2975809F" w14:textId="77777777" w:rsidR="00BC052C" w:rsidRDefault="00BC052C" w:rsidP="00C85B66">
      <w:pPr>
        <w:jc w:val="both"/>
        <w:rPr>
          <w:rFonts w:cs="Arial"/>
          <w:b/>
        </w:rPr>
      </w:pPr>
    </w:p>
    <w:p w14:paraId="2082DEB5" w14:textId="77777777" w:rsidR="00BC052C" w:rsidRDefault="00BC052C" w:rsidP="00072C88">
      <w:pPr>
        <w:jc w:val="both"/>
        <w:rPr>
          <w:rFonts w:cs="Arial"/>
          <w:b/>
          <w:lang w:val="en-US"/>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835EAC">
            <w:pPr>
              <w:rPr>
                <w:rFonts w:eastAsiaTheme="minorHAnsi" w:cs="Arial"/>
              </w:rPr>
            </w:pPr>
            <w:r w:rsidRPr="00915E90">
              <w:rPr>
                <w:rFonts w:cs="Arial"/>
                <w:b/>
              </w:rPr>
              <w:t>Legislation</w:t>
            </w:r>
          </w:p>
        </w:tc>
        <w:tc>
          <w:tcPr>
            <w:tcW w:w="5670" w:type="dxa"/>
          </w:tcPr>
          <w:p w14:paraId="3F39D723" w14:textId="77777777" w:rsidR="00D37717" w:rsidRDefault="00495FD4" w:rsidP="00C85B66">
            <w:pPr>
              <w:rPr>
                <w:rFonts w:cs="Arial"/>
                <w:lang w:val="en-US"/>
              </w:rPr>
            </w:pPr>
            <w:r>
              <w:rPr>
                <w:rFonts w:cs="Arial"/>
                <w:lang w:val="en-US"/>
              </w:rPr>
              <w:t xml:space="preserve">Local Government Act 1995, </w:t>
            </w:r>
          </w:p>
          <w:p w14:paraId="60B48867" w14:textId="77777777" w:rsidR="00D37717" w:rsidRDefault="00495FD4" w:rsidP="00C85B66">
            <w:pPr>
              <w:rPr>
                <w:rFonts w:cs="Arial"/>
                <w:lang w:val="en-US"/>
              </w:rPr>
            </w:pPr>
            <w:r>
              <w:rPr>
                <w:rFonts w:cs="Arial"/>
                <w:lang w:val="en-US"/>
              </w:rPr>
              <w:t xml:space="preserve">State Records Act 2000, </w:t>
            </w:r>
          </w:p>
          <w:p w14:paraId="389F3A34" w14:textId="28FF2ED6" w:rsidR="00D37717" w:rsidRDefault="00495FD4" w:rsidP="00C85B66">
            <w:pPr>
              <w:rPr>
                <w:rFonts w:cs="Arial"/>
                <w:lang w:val="en-US"/>
              </w:rPr>
            </w:pPr>
            <w:r>
              <w:rPr>
                <w:rFonts w:cs="Arial"/>
                <w:lang w:val="en-US"/>
              </w:rPr>
              <w:t xml:space="preserve">Evidence Act 1906, Freedom of Information Act 1992, Local Government Accounting Directions 1994, Electronic </w:t>
            </w:r>
            <w:r w:rsidR="001D5B4C">
              <w:rPr>
                <w:rFonts w:cs="Arial"/>
                <w:lang w:val="en-US"/>
              </w:rPr>
              <w:t>Transactions</w:t>
            </w:r>
            <w:r>
              <w:rPr>
                <w:rFonts w:cs="Arial"/>
                <w:lang w:val="en-US"/>
              </w:rPr>
              <w:t xml:space="preserve"> Act 2011, </w:t>
            </w:r>
          </w:p>
          <w:p w14:paraId="59B27099" w14:textId="17579D67" w:rsidR="00D37717" w:rsidRDefault="00495FD4" w:rsidP="00D37717">
            <w:pPr>
              <w:rPr>
                <w:rFonts w:cs="Arial"/>
                <w:lang w:val="en-US"/>
              </w:rPr>
            </w:pPr>
            <w:r>
              <w:rPr>
                <w:rFonts w:cs="Arial"/>
                <w:lang w:val="en-US"/>
              </w:rPr>
              <w:t>General Disposal Authority for Local Government Record</w:t>
            </w:r>
            <w:r w:rsidR="00D37717">
              <w:rPr>
                <w:rFonts w:cs="Arial"/>
                <w:lang w:val="en-US"/>
              </w:rPr>
              <w:t>s</w:t>
            </w:r>
            <w:r>
              <w:rPr>
                <w:rFonts w:cs="Arial"/>
                <w:lang w:val="en-US"/>
              </w:rPr>
              <w:t xml:space="preserve"> </w:t>
            </w:r>
          </w:p>
          <w:p w14:paraId="76521A7C" w14:textId="08E1CE42" w:rsidR="00F95A2E" w:rsidRPr="00F95A2E" w:rsidRDefault="00495FD4" w:rsidP="00D37717">
            <w:pPr>
              <w:rPr>
                <w:rFonts w:cs="Arial"/>
                <w:lang w:val="en-US"/>
              </w:rPr>
            </w:pPr>
            <w:r>
              <w:rPr>
                <w:rFonts w:cs="Arial"/>
                <w:lang w:val="en-US"/>
              </w:rPr>
              <w:t>MRC Recordkeeping Plan</w:t>
            </w:r>
            <w:r w:rsidR="00D37717">
              <w:rPr>
                <w:rFonts w:cs="Arial"/>
                <w:lang w:val="en-US"/>
              </w:rPr>
              <w:t xml:space="preserve"> 2023</w:t>
            </w:r>
          </w:p>
        </w:tc>
      </w:tr>
      <w:tr w:rsidR="00072C88" w:rsidRPr="000E5192" w14:paraId="6B1E7545" w14:textId="77777777" w:rsidTr="00260076">
        <w:tc>
          <w:tcPr>
            <w:tcW w:w="2835" w:type="dxa"/>
          </w:tcPr>
          <w:p w14:paraId="105008D3" w14:textId="77777777" w:rsidR="00072C88" w:rsidRPr="00915E90" w:rsidRDefault="00072C88" w:rsidP="00835EAC">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835EAC">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835EAC">
            <w:pPr>
              <w:rPr>
                <w:rFonts w:eastAsiaTheme="minorHAnsi" w:cs="Arial"/>
              </w:rPr>
            </w:pPr>
            <w:r w:rsidRPr="00915E90">
              <w:rPr>
                <w:rFonts w:cs="Arial"/>
                <w:b/>
              </w:rPr>
              <w:t>Council Meeting Date</w:t>
            </w:r>
          </w:p>
        </w:tc>
        <w:tc>
          <w:tcPr>
            <w:tcW w:w="5670" w:type="dxa"/>
          </w:tcPr>
          <w:p w14:paraId="49DB16DA" w14:textId="6032C5F2" w:rsidR="00072C88" w:rsidRPr="005116B6" w:rsidRDefault="000E5EEA" w:rsidP="0001173F">
            <w:pPr>
              <w:rPr>
                <w:rFonts w:eastAsiaTheme="minorHAnsi" w:cs="Arial"/>
                <w:color w:val="FF0000"/>
              </w:rPr>
            </w:pPr>
            <w:r>
              <w:rPr>
                <w:rFonts w:eastAsiaTheme="minorHAnsi" w:cs="Arial"/>
              </w:rPr>
              <w:t>30/03/2026</w:t>
            </w:r>
          </w:p>
        </w:tc>
      </w:tr>
      <w:tr w:rsidR="00072C88" w:rsidRPr="000E5192" w14:paraId="0DB207C2" w14:textId="77777777" w:rsidTr="00260076">
        <w:tc>
          <w:tcPr>
            <w:tcW w:w="2835" w:type="dxa"/>
          </w:tcPr>
          <w:p w14:paraId="64A5CA46" w14:textId="50BE7438" w:rsidR="00072C88" w:rsidRPr="00915E90" w:rsidRDefault="00C45874" w:rsidP="00835EAC">
            <w:pPr>
              <w:rPr>
                <w:rFonts w:eastAsiaTheme="minorHAnsi" w:cs="Arial"/>
              </w:rPr>
            </w:pPr>
            <w:r>
              <w:rPr>
                <w:rFonts w:cs="Arial"/>
                <w:b/>
              </w:rPr>
              <w:t xml:space="preserve">Created </w:t>
            </w:r>
          </w:p>
        </w:tc>
        <w:tc>
          <w:tcPr>
            <w:tcW w:w="5670" w:type="dxa"/>
          </w:tcPr>
          <w:p w14:paraId="474DC602" w14:textId="41695CB1" w:rsidR="00072C88" w:rsidRPr="00915E90" w:rsidRDefault="00C45874" w:rsidP="00835EAC">
            <w:pPr>
              <w:rPr>
                <w:rFonts w:eastAsiaTheme="minorHAnsi" w:cs="Arial"/>
              </w:rPr>
            </w:pPr>
            <w:r>
              <w:rPr>
                <w:rFonts w:eastAsiaTheme="minorHAnsi" w:cs="Arial"/>
              </w:rPr>
              <w:t>01/08/2022</w:t>
            </w:r>
          </w:p>
        </w:tc>
      </w:tr>
      <w:tr w:rsidR="00072C88" w:rsidRPr="000E5192" w14:paraId="464257C3" w14:textId="77777777" w:rsidTr="00260076">
        <w:tc>
          <w:tcPr>
            <w:tcW w:w="2835" w:type="dxa"/>
          </w:tcPr>
          <w:p w14:paraId="01E04677" w14:textId="77777777" w:rsidR="00072C88" w:rsidRPr="00915E90" w:rsidRDefault="00072C88" w:rsidP="00835EAC">
            <w:pPr>
              <w:rPr>
                <w:rFonts w:eastAsiaTheme="minorHAnsi" w:cs="Arial"/>
              </w:rPr>
            </w:pPr>
            <w:r w:rsidRPr="00915E90">
              <w:rPr>
                <w:rFonts w:cs="Arial"/>
                <w:b/>
              </w:rPr>
              <w:t>Next Review Date</w:t>
            </w:r>
          </w:p>
        </w:tc>
        <w:tc>
          <w:tcPr>
            <w:tcW w:w="5670" w:type="dxa"/>
          </w:tcPr>
          <w:p w14:paraId="13FC046C" w14:textId="33BB1118" w:rsidR="00072C88" w:rsidRPr="00915E90" w:rsidRDefault="000E5EEA" w:rsidP="0001173F">
            <w:pPr>
              <w:rPr>
                <w:rFonts w:eastAsiaTheme="minorHAnsi" w:cs="Arial"/>
              </w:rPr>
            </w:pPr>
            <w:r>
              <w:rPr>
                <w:rFonts w:cs="Arial"/>
              </w:rPr>
              <w:t>2027</w:t>
            </w:r>
          </w:p>
        </w:tc>
      </w:tr>
      <w:tr w:rsidR="00072C88" w:rsidRPr="000E5192" w14:paraId="0B2EA667" w14:textId="77777777" w:rsidTr="00260076">
        <w:tc>
          <w:tcPr>
            <w:tcW w:w="2835" w:type="dxa"/>
          </w:tcPr>
          <w:p w14:paraId="7A2DAAFA" w14:textId="77777777" w:rsidR="00072C88" w:rsidRPr="00915E90" w:rsidRDefault="00072C88" w:rsidP="00835EAC">
            <w:pPr>
              <w:rPr>
                <w:rFonts w:cs="Arial"/>
                <w:b/>
              </w:rPr>
            </w:pPr>
            <w:r w:rsidRPr="00915E90">
              <w:rPr>
                <w:rFonts w:cs="Arial"/>
                <w:b/>
              </w:rPr>
              <w:t>Revision History</w:t>
            </w:r>
          </w:p>
        </w:tc>
        <w:tc>
          <w:tcPr>
            <w:tcW w:w="5670" w:type="dxa"/>
          </w:tcPr>
          <w:p w14:paraId="7AFD9ECE" w14:textId="77777777" w:rsidR="009C4CCD" w:rsidRDefault="00E933DD" w:rsidP="00835EAC">
            <w:pPr>
              <w:rPr>
                <w:rFonts w:cs="Arial"/>
              </w:rPr>
            </w:pPr>
            <w:r>
              <w:rPr>
                <w:rFonts w:cs="Arial"/>
              </w:rPr>
              <w:t>21.09.2023 no change, 14/05/2024  no change</w:t>
            </w:r>
            <w:r w:rsidR="00251432">
              <w:rPr>
                <w:rFonts w:cs="Arial"/>
              </w:rPr>
              <w:t>, 08.04.2025 legislation updated at clause 3,</w:t>
            </w:r>
            <w:r>
              <w:rPr>
                <w:rFonts w:cs="Arial"/>
              </w:rPr>
              <w:t xml:space="preserve"> </w:t>
            </w:r>
          </w:p>
          <w:p w14:paraId="40760871" w14:textId="1A9911C6" w:rsidR="000E5EEA" w:rsidRPr="00915E90" w:rsidRDefault="000E5EEA" w:rsidP="00835EAC">
            <w:pPr>
              <w:rPr>
                <w:rFonts w:cs="Arial"/>
              </w:rPr>
            </w:pPr>
            <w:r>
              <w:rPr>
                <w:rFonts w:cs="Arial"/>
              </w:rPr>
              <w:t>30/03/2026 no change</w:t>
            </w:r>
          </w:p>
        </w:tc>
      </w:tr>
      <w:tr w:rsidR="00072C88" w:rsidRPr="000E5192" w14:paraId="3678F3AB" w14:textId="77777777" w:rsidTr="00260076">
        <w:tc>
          <w:tcPr>
            <w:tcW w:w="2835" w:type="dxa"/>
          </w:tcPr>
          <w:p w14:paraId="17B27E9C" w14:textId="77777777" w:rsidR="00072C88" w:rsidRPr="00915E90" w:rsidRDefault="00072C88" w:rsidP="00835EAC">
            <w:pPr>
              <w:rPr>
                <w:rFonts w:eastAsiaTheme="minorHAnsi" w:cs="Arial"/>
                <w:b/>
              </w:rPr>
            </w:pPr>
            <w:r w:rsidRPr="00915E90">
              <w:rPr>
                <w:rFonts w:cs="Arial"/>
                <w:b/>
              </w:rPr>
              <w:t>Delegation to the Chief Executive Officer</w:t>
            </w:r>
          </w:p>
        </w:tc>
        <w:tc>
          <w:tcPr>
            <w:tcW w:w="5670" w:type="dxa"/>
          </w:tcPr>
          <w:p w14:paraId="35AFDB33" w14:textId="75C41EA0" w:rsidR="00072C88" w:rsidRPr="00915E90" w:rsidRDefault="009A1846" w:rsidP="00835EAC">
            <w:pPr>
              <w:rPr>
                <w:rFonts w:eastAsiaTheme="minorHAnsi" w:cs="Arial"/>
              </w:rPr>
            </w:pPr>
            <w:r>
              <w:rPr>
                <w:rFonts w:eastAsiaTheme="minorHAnsi" w:cs="Arial"/>
              </w:rPr>
              <w:t>Nil</w:t>
            </w:r>
          </w:p>
        </w:tc>
      </w:tr>
    </w:tbl>
    <w:p w14:paraId="68184EC4" w14:textId="079292DE" w:rsidR="008F6124" w:rsidRDefault="008F6124" w:rsidP="00260076"/>
    <w:p w14:paraId="614B3780" w14:textId="650FC91E" w:rsidR="008F6124" w:rsidRDefault="008F6124" w:rsidP="00260076"/>
    <w:sectPr w:rsidR="008F6124" w:rsidSect="0026007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B5AF" w14:textId="77777777" w:rsidR="0052284E" w:rsidRDefault="0052284E" w:rsidP="00495FD4">
      <w:r>
        <w:separator/>
      </w:r>
    </w:p>
  </w:endnote>
  <w:endnote w:type="continuationSeparator" w:id="0">
    <w:p w14:paraId="759E090C" w14:textId="77777777" w:rsidR="0052284E" w:rsidRDefault="0052284E" w:rsidP="004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CFA4" w14:textId="77777777" w:rsidR="009A62DC" w:rsidRDefault="00000000">
    <w:pPr>
      <w:pStyle w:val="BodyText"/>
      <w:kinsoku w:val="0"/>
      <w:overflowPunct w:val="0"/>
      <w:spacing w:line="14" w:lineRule="auto"/>
      <w:rPr>
        <w:rFonts w:ascii="Times New Roman" w:hAnsi="Times New Roman" w:cs="Times New Roman"/>
        <w:sz w:val="12"/>
        <w:szCs w:val="12"/>
      </w:rPr>
    </w:pPr>
    <w:r>
      <w:rPr>
        <w:noProof/>
      </w:rPr>
      <w:pict w14:anchorId="39FB199F">
        <v:shapetype id="_x0000_t202" coordsize="21600,21600" o:spt="202" path="m,l,21600r21600,l21600,xe">
          <v:stroke joinstyle="miter"/>
          <v:path gradientshapeok="t" o:connecttype="rect"/>
        </v:shapetype>
        <v:shape id="_x0000_s1025" type="#_x0000_t202" style="position:absolute;margin-left:47.25pt;margin-top:785.6pt;width:124.65pt;height:12.1pt;z-index:-251659264;mso-position-horizontal-relative:page;mso-position-vertical-relative:page" o:allowincell="f" filled="f" stroked="f">
          <v:textbox inset="0,0,0,0">
            <w:txbxContent>
              <w:p w14:paraId="77DFFE31" w14:textId="629DE37C" w:rsidR="009A62DC" w:rsidRDefault="009A62DC">
                <w:pPr>
                  <w:pStyle w:val="BodyText"/>
                  <w:kinsoku w:val="0"/>
                  <w:overflowPunct w:val="0"/>
                  <w:spacing w:before="14"/>
                  <w:ind w:left="20"/>
                  <w:rPr>
                    <w:b/>
                    <w:bCs/>
                    <w:color w:val="004650"/>
                    <w:sz w:val="18"/>
                    <w:szCs w:val="18"/>
                  </w:rPr>
                </w:pPr>
              </w:p>
            </w:txbxContent>
          </v:textbox>
          <w10:wrap anchorx="page" anchory="page"/>
        </v:shape>
      </w:pict>
    </w:r>
    <w:r>
      <w:rPr>
        <w:noProof/>
      </w:rPr>
      <w:pict w14:anchorId="7112C36C">
        <v:shape id="_x0000_s1026" type="#_x0000_t202" style="position:absolute;margin-left:539.25pt;margin-top:785.6pt;width:11.05pt;height:12.1pt;z-index:-251658240;mso-position-horizontal-relative:page;mso-position-vertical-relative:page" o:allowincell="f" filled="f" stroked="f">
          <v:textbox inset="0,0,0,0">
            <w:txbxContent>
              <w:p w14:paraId="74CBAAC8" w14:textId="581BD241" w:rsidR="009A62DC" w:rsidRDefault="009A62DC">
                <w:pPr>
                  <w:pStyle w:val="BodyText"/>
                  <w:kinsoku w:val="0"/>
                  <w:overflowPunct w:val="0"/>
                  <w:spacing w:before="14"/>
                  <w:ind w:left="60"/>
                  <w:rPr>
                    <w:b/>
                    <w:bCs/>
                    <w:color w:val="004650"/>
                    <w:w w:val="99"/>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8541" w14:textId="77777777" w:rsidR="0052284E" w:rsidRDefault="0052284E" w:rsidP="00495FD4">
      <w:r>
        <w:separator/>
      </w:r>
    </w:p>
  </w:footnote>
  <w:footnote w:type="continuationSeparator" w:id="0">
    <w:p w14:paraId="37E86B77" w14:textId="77777777" w:rsidR="0052284E" w:rsidRDefault="0052284E" w:rsidP="0049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366105"/>
    <w:multiLevelType w:val="hybridMultilevel"/>
    <w:tmpl w:val="E015C4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585" w:hanging="361"/>
      </w:pPr>
      <w:rPr>
        <w:rFonts w:ascii="Arial" w:hAnsi="Arial" w:cs="Arial"/>
        <w:b/>
        <w:bCs/>
        <w:spacing w:val="-1"/>
        <w:w w:val="100"/>
        <w:sz w:val="22"/>
        <w:szCs w:val="22"/>
      </w:rPr>
    </w:lvl>
    <w:lvl w:ilvl="1">
      <w:start w:val="1"/>
      <w:numFmt w:val="lowerLetter"/>
      <w:lvlText w:val="%2."/>
      <w:lvlJc w:val="left"/>
      <w:pPr>
        <w:ind w:left="1358" w:hanging="567"/>
      </w:pPr>
      <w:rPr>
        <w:rFonts w:ascii="Arial" w:hAnsi="Arial" w:cs="Arial"/>
        <w:b w:val="0"/>
        <w:bCs w:val="0"/>
        <w:spacing w:val="-1"/>
        <w:w w:val="100"/>
        <w:sz w:val="22"/>
        <w:szCs w:val="22"/>
      </w:rPr>
    </w:lvl>
    <w:lvl w:ilvl="2">
      <w:numFmt w:val="bullet"/>
      <w:lvlText w:val="•"/>
      <w:lvlJc w:val="left"/>
      <w:pPr>
        <w:ind w:left="2356" w:hanging="567"/>
      </w:pPr>
    </w:lvl>
    <w:lvl w:ilvl="3">
      <w:numFmt w:val="bullet"/>
      <w:lvlText w:val="•"/>
      <w:lvlJc w:val="left"/>
      <w:pPr>
        <w:ind w:left="3352" w:hanging="567"/>
      </w:pPr>
    </w:lvl>
    <w:lvl w:ilvl="4">
      <w:numFmt w:val="bullet"/>
      <w:lvlText w:val="•"/>
      <w:lvlJc w:val="left"/>
      <w:pPr>
        <w:ind w:left="4348" w:hanging="567"/>
      </w:pPr>
    </w:lvl>
    <w:lvl w:ilvl="5">
      <w:numFmt w:val="bullet"/>
      <w:lvlText w:val="•"/>
      <w:lvlJc w:val="left"/>
      <w:pPr>
        <w:ind w:left="5345" w:hanging="567"/>
      </w:pPr>
    </w:lvl>
    <w:lvl w:ilvl="6">
      <w:numFmt w:val="bullet"/>
      <w:lvlText w:val="•"/>
      <w:lvlJc w:val="left"/>
      <w:pPr>
        <w:ind w:left="6341" w:hanging="567"/>
      </w:pPr>
    </w:lvl>
    <w:lvl w:ilvl="7">
      <w:numFmt w:val="bullet"/>
      <w:lvlText w:val="•"/>
      <w:lvlJc w:val="left"/>
      <w:pPr>
        <w:ind w:left="7337" w:hanging="567"/>
      </w:pPr>
    </w:lvl>
    <w:lvl w:ilvl="8">
      <w:numFmt w:val="bullet"/>
      <w:lvlText w:val="•"/>
      <w:lvlJc w:val="left"/>
      <w:pPr>
        <w:ind w:left="8333" w:hanging="567"/>
      </w:pPr>
    </w:lvl>
  </w:abstractNum>
  <w:abstractNum w:abstractNumId="2" w15:restartNumberingAfterBreak="0">
    <w:nsid w:val="00000403"/>
    <w:multiLevelType w:val="multilevel"/>
    <w:tmpl w:val="00000886"/>
    <w:lvl w:ilvl="0">
      <w:start w:val="4"/>
      <w:numFmt w:val="decimal"/>
      <w:lvlText w:val="%1"/>
      <w:lvlJc w:val="left"/>
      <w:pPr>
        <w:ind w:left="1358" w:hanging="567"/>
      </w:pPr>
    </w:lvl>
    <w:lvl w:ilvl="1">
      <w:start w:val="1"/>
      <w:numFmt w:val="decimal"/>
      <w:lvlText w:val="%1.%2."/>
      <w:lvlJc w:val="left"/>
      <w:pPr>
        <w:ind w:left="1358" w:hanging="567"/>
      </w:pPr>
      <w:rPr>
        <w:rFonts w:ascii="Arial" w:hAnsi="Arial" w:cs="Arial"/>
        <w:b/>
        <w:bCs/>
        <w:w w:val="100"/>
        <w:sz w:val="22"/>
        <w:szCs w:val="22"/>
      </w:rPr>
    </w:lvl>
    <w:lvl w:ilvl="2">
      <w:numFmt w:val="bullet"/>
      <w:lvlText w:val=""/>
      <w:lvlJc w:val="left"/>
      <w:pPr>
        <w:ind w:left="1926" w:hanging="569"/>
      </w:pPr>
      <w:rPr>
        <w:rFonts w:ascii="Symbol" w:hAnsi="Symbol" w:cs="Symbol"/>
        <w:b w:val="0"/>
        <w:bCs w:val="0"/>
        <w:w w:val="100"/>
        <w:sz w:val="22"/>
        <w:szCs w:val="22"/>
      </w:rPr>
    </w:lvl>
    <w:lvl w:ilvl="3">
      <w:numFmt w:val="bullet"/>
      <w:lvlText w:val="•"/>
      <w:lvlJc w:val="left"/>
      <w:pPr>
        <w:ind w:left="3788" w:hanging="569"/>
      </w:pPr>
    </w:lvl>
    <w:lvl w:ilvl="4">
      <w:numFmt w:val="bullet"/>
      <w:lvlText w:val="•"/>
      <w:lvlJc w:val="left"/>
      <w:pPr>
        <w:ind w:left="4722" w:hanging="569"/>
      </w:pPr>
    </w:lvl>
    <w:lvl w:ilvl="5">
      <w:numFmt w:val="bullet"/>
      <w:lvlText w:val="•"/>
      <w:lvlJc w:val="left"/>
      <w:pPr>
        <w:ind w:left="5656" w:hanging="569"/>
      </w:pPr>
    </w:lvl>
    <w:lvl w:ilvl="6">
      <w:numFmt w:val="bullet"/>
      <w:lvlText w:val="•"/>
      <w:lvlJc w:val="left"/>
      <w:pPr>
        <w:ind w:left="6590" w:hanging="569"/>
      </w:pPr>
    </w:lvl>
    <w:lvl w:ilvl="7">
      <w:numFmt w:val="bullet"/>
      <w:lvlText w:val="•"/>
      <w:lvlJc w:val="left"/>
      <w:pPr>
        <w:ind w:left="7524" w:hanging="569"/>
      </w:pPr>
    </w:lvl>
    <w:lvl w:ilvl="8">
      <w:numFmt w:val="bullet"/>
      <w:lvlText w:val="•"/>
      <w:lvlJc w:val="left"/>
      <w:pPr>
        <w:ind w:left="8458" w:hanging="569"/>
      </w:pPr>
    </w:lvl>
  </w:abstractNum>
  <w:abstractNum w:abstractNumId="3" w15:restartNumberingAfterBreak="0">
    <w:nsid w:val="00000404"/>
    <w:multiLevelType w:val="multilevel"/>
    <w:tmpl w:val="00000887"/>
    <w:lvl w:ilvl="0">
      <w:start w:val="1"/>
      <w:numFmt w:val="lowerLetter"/>
      <w:lvlText w:val="%1."/>
      <w:lvlJc w:val="left"/>
      <w:pPr>
        <w:ind w:left="1926" w:hanging="569"/>
      </w:pPr>
      <w:rPr>
        <w:rFonts w:ascii="Arial" w:hAnsi="Arial" w:cs="Arial"/>
        <w:b w:val="0"/>
        <w:bCs w:val="0"/>
        <w:spacing w:val="-1"/>
        <w:w w:val="100"/>
        <w:sz w:val="22"/>
        <w:szCs w:val="22"/>
      </w:rPr>
    </w:lvl>
    <w:lvl w:ilvl="1">
      <w:numFmt w:val="bullet"/>
      <w:lvlText w:val="•"/>
      <w:lvlJc w:val="left"/>
      <w:pPr>
        <w:ind w:left="2760" w:hanging="569"/>
      </w:pPr>
    </w:lvl>
    <w:lvl w:ilvl="2">
      <w:numFmt w:val="bullet"/>
      <w:lvlText w:val="•"/>
      <w:lvlJc w:val="left"/>
      <w:pPr>
        <w:ind w:left="3601" w:hanging="569"/>
      </w:pPr>
    </w:lvl>
    <w:lvl w:ilvl="3">
      <w:numFmt w:val="bullet"/>
      <w:lvlText w:val="•"/>
      <w:lvlJc w:val="left"/>
      <w:pPr>
        <w:ind w:left="4441" w:hanging="569"/>
      </w:pPr>
    </w:lvl>
    <w:lvl w:ilvl="4">
      <w:numFmt w:val="bullet"/>
      <w:lvlText w:val="•"/>
      <w:lvlJc w:val="left"/>
      <w:pPr>
        <w:ind w:left="5282" w:hanging="569"/>
      </w:pPr>
    </w:lvl>
    <w:lvl w:ilvl="5">
      <w:numFmt w:val="bullet"/>
      <w:lvlText w:val="•"/>
      <w:lvlJc w:val="left"/>
      <w:pPr>
        <w:ind w:left="6123" w:hanging="569"/>
      </w:pPr>
    </w:lvl>
    <w:lvl w:ilvl="6">
      <w:numFmt w:val="bullet"/>
      <w:lvlText w:val="•"/>
      <w:lvlJc w:val="left"/>
      <w:pPr>
        <w:ind w:left="6963" w:hanging="569"/>
      </w:pPr>
    </w:lvl>
    <w:lvl w:ilvl="7">
      <w:numFmt w:val="bullet"/>
      <w:lvlText w:val="•"/>
      <w:lvlJc w:val="left"/>
      <w:pPr>
        <w:ind w:left="7804" w:hanging="569"/>
      </w:pPr>
    </w:lvl>
    <w:lvl w:ilvl="8">
      <w:numFmt w:val="bullet"/>
      <w:lvlText w:val="•"/>
      <w:lvlJc w:val="left"/>
      <w:pPr>
        <w:ind w:left="8645" w:hanging="569"/>
      </w:pPr>
    </w:lvl>
  </w:abstractNum>
  <w:abstractNum w:abstractNumId="4" w15:restartNumberingAfterBreak="0">
    <w:nsid w:val="00000405"/>
    <w:multiLevelType w:val="multilevel"/>
    <w:tmpl w:val="00000888"/>
    <w:lvl w:ilvl="0">
      <w:numFmt w:val="bullet"/>
      <w:lvlText w:val="•"/>
      <w:lvlJc w:val="left"/>
      <w:pPr>
        <w:ind w:left="702" w:hanging="567"/>
      </w:pPr>
      <w:rPr>
        <w:rFonts w:ascii="Arial" w:hAnsi="Arial" w:cs="Arial"/>
        <w:b w:val="0"/>
        <w:bCs w:val="0"/>
        <w:color w:val="004650"/>
        <w:w w:val="100"/>
        <w:sz w:val="22"/>
        <w:szCs w:val="22"/>
      </w:rPr>
    </w:lvl>
    <w:lvl w:ilvl="1">
      <w:numFmt w:val="bullet"/>
      <w:lvlText w:val="•"/>
      <w:lvlJc w:val="left"/>
      <w:pPr>
        <w:ind w:left="1287" w:hanging="567"/>
      </w:pPr>
    </w:lvl>
    <w:lvl w:ilvl="2">
      <w:numFmt w:val="bullet"/>
      <w:lvlText w:val="•"/>
      <w:lvlJc w:val="left"/>
      <w:pPr>
        <w:ind w:left="1875" w:hanging="567"/>
      </w:pPr>
    </w:lvl>
    <w:lvl w:ilvl="3">
      <w:numFmt w:val="bullet"/>
      <w:lvlText w:val="•"/>
      <w:lvlJc w:val="left"/>
      <w:pPr>
        <w:ind w:left="2463" w:hanging="567"/>
      </w:pPr>
    </w:lvl>
    <w:lvl w:ilvl="4">
      <w:numFmt w:val="bullet"/>
      <w:lvlText w:val="•"/>
      <w:lvlJc w:val="left"/>
      <w:pPr>
        <w:ind w:left="3050" w:hanging="567"/>
      </w:pPr>
    </w:lvl>
    <w:lvl w:ilvl="5">
      <w:numFmt w:val="bullet"/>
      <w:lvlText w:val="•"/>
      <w:lvlJc w:val="left"/>
      <w:pPr>
        <w:ind w:left="3638" w:hanging="567"/>
      </w:pPr>
    </w:lvl>
    <w:lvl w:ilvl="6">
      <w:numFmt w:val="bullet"/>
      <w:lvlText w:val="•"/>
      <w:lvlJc w:val="left"/>
      <w:pPr>
        <w:ind w:left="4226" w:hanging="567"/>
      </w:pPr>
    </w:lvl>
    <w:lvl w:ilvl="7">
      <w:numFmt w:val="bullet"/>
      <w:lvlText w:val="•"/>
      <w:lvlJc w:val="left"/>
      <w:pPr>
        <w:ind w:left="4813" w:hanging="567"/>
      </w:pPr>
    </w:lvl>
    <w:lvl w:ilvl="8">
      <w:numFmt w:val="bullet"/>
      <w:lvlText w:val="•"/>
      <w:lvlJc w:val="left"/>
      <w:pPr>
        <w:ind w:left="5401" w:hanging="567"/>
      </w:pPr>
    </w:lvl>
  </w:abstractNum>
  <w:abstractNum w:abstractNumId="5" w15:restartNumberingAfterBreak="0">
    <w:nsid w:val="095F431B"/>
    <w:multiLevelType w:val="hybridMultilevel"/>
    <w:tmpl w:val="DECAA6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5FA1C5"/>
    <w:multiLevelType w:val="hybridMultilevel"/>
    <w:tmpl w:val="15491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D8D644"/>
    <w:multiLevelType w:val="hybridMultilevel"/>
    <w:tmpl w:val="0A8A1D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4A4F16"/>
    <w:multiLevelType w:val="hybridMultilevel"/>
    <w:tmpl w:val="AF90941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9" w15:restartNumberingAfterBreak="0">
    <w:nsid w:val="53C614E9"/>
    <w:multiLevelType w:val="hybridMultilevel"/>
    <w:tmpl w:val="421A3E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43733A"/>
    <w:multiLevelType w:val="hybridMultilevel"/>
    <w:tmpl w:val="03D09F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010422"/>
    <w:multiLevelType w:val="hybridMultilevel"/>
    <w:tmpl w:val="8AC8C6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F1C3424"/>
    <w:multiLevelType w:val="multilevel"/>
    <w:tmpl w:val="C51EBD0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116027256">
    <w:abstractNumId w:val="10"/>
  </w:num>
  <w:num w:numId="2" w16cid:durableId="2035421046">
    <w:abstractNumId w:val="5"/>
  </w:num>
  <w:num w:numId="3" w16cid:durableId="848180916">
    <w:abstractNumId w:val="11"/>
  </w:num>
  <w:num w:numId="4" w16cid:durableId="68311735">
    <w:abstractNumId w:val="0"/>
  </w:num>
  <w:num w:numId="5" w16cid:durableId="1324815592">
    <w:abstractNumId w:val="7"/>
  </w:num>
  <w:num w:numId="6" w16cid:durableId="619338879">
    <w:abstractNumId w:val="6"/>
  </w:num>
  <w:num w:numId="7" w16cid:durableId="1035428886">
    <w:abstractNumId w:val="9"/>
  </w:num>
  <w:num w:numId="8" w16cid:durableId="1620603845">
    <w:abstractNumId w:val="8"/>
  </w:num>
  <w:num w:numId="9" w16cid:durableId="831064585">
    <w:abstractNumId w:val="4"/>
  </w:num>
  <w:num w:numId="10" w16cid:durableId="102313697">
    <w:abstractNumId w:val="3"/>
  </w:num>
  <w:num w:numId="11" w16cid:durableId="1094663628">
    <w:abstractNumId w:val="2"/>
  </w:num>
  <w:num w:numId="12" w16cid:durableId="1718431120">
    <w:abstractNumId w:val="1"/>
  </w:num>
  <w:num w:numId="13" w16cid:durableId="10081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1173F"/>
    <w:rsid w:val="00072C88"/>
    <w:rsid w:val="000852F1"/>
    <w:rsid w:val="000C0401"/>
    <w:rsid w:val="000E5EEA"/>
    <w:rsid w:val="0012108E"/>
    <w:rsid w:val="00127040"/>
    <w:rsid w:val="001628A6"/>
    <w:rsid w:val="00174930"/>
    <w:rsid w:val="001970AD"/>
    <w:rsid w:val="001B2F50"/>
    <w:rsid w:val="001D5B4C"/>
    <w:rsid w:val="001E35FD"/>
    <w:rsid w:val="002170B4"/>
    <w:rsid w:val="00251432"/>
    <w:rsid w:val="00260076"/>
    <w:rsid w:val="002D5CBF"/>
    <w:rsid w:val="002F44D7"/>
    <w:rsid w:val="003132AD"/>
    <w:rsid w:val="00330927"/>
    <w:rsid w:val="00344A4B"/>
    <w:rsid w:val="00357D26"/>
    <w:rsid w:val="003604A5"/>
    <w:rsid w:val="0037594E"/>
    <w:rsid w:val="003E2F81"/>
    <w:rsid w:val="004076BE"/>
    <w:rsid w:val="00427111"/>
    <w:rsid w:val="00430460"/>
    <w:rsid w:val="00440A8B"/>
    <w:rsid w:val="00463459"/>
    <w:rsid w:val="00477B7A"/>
    <w:rsid w:val="00484A7C"/>
    <w:rsid w:val="004920BB"/>
    <w:rsid w:val="00495FD4"/>
    <w:rsid w:val="004B42C8"/>
    <w:rsid w:val="004B6BF6"/>
    <w:rsid w:val="004C5B3F"/>
    <w:rsid w:val="004C784F"/>
    <w:rsid w:val="00505FF4"/>
    <w:rsid w:val="0052284E"/>
    <w:rsid w:val="00534D8D"/>
    <w:rsid w:val="005452B0"/>
    <w:rsid w:val="00561789"/>
    <w:rsid w:val="00573C95"/>
    <w:rsid w:val="005A1A94"/>
    <w:rsid w:val="005C7986"/>
    <w:rsid w:val="005D42FC"/>
    <w:rsid w:val="00622383"/>
    <w:rsid w:val="006D4F00"/>
    <w:rsid w:val="00701681"/>
    <w:rsid w:val="00737940"/>
    <w:rsid w:val="00740BD7"/>
    <w:rsid w:val="00755B45"/>
    <w:rsid w:val="007C3239"/>
    <w:rsid w:val="007C699D"/>
    <w:rsid w:val="00835EAC"/>
    <w:rsid w:val="00877890"/>
    <w:rsid w:val="008B694B"/>
    <w:rsid w:val="008E6BAA"/>
    <w:rsid w:val="008F6124"/>
    <w:rsid w:val="009121FF"/>
    <w:rsid w:val="009A1846"/>
    <w:rsid w:val="009A62DC"/>
    <w:rsid w:val="009C4CCD"/>
    <w:rsid w:val="009E5317"/>
    <w:rsid w:val="00A015D8"/>
    <w:rsid w:val="00A4798B"/>
    <w:rsid w:val="00A47FC4"/>
    <w:rsid w:val="00A567CD"/>
    <w:rsid w:val="00A606B2"/>
    <w:rsid w:val="00A72BED"/>
    <w:rsid w:val="00A7403F"/>
    <w:rsid w:val="00A800C4"/>
    <w:rsid w:val="00A83EA0"/>
    <w:rsid w:val="00A967C1"/>
    <w:rsid w:val="00AB68FD"/>
    <w:rsid w:val="00AD48DA"/>
    <w:rsid w:val="00B507CD"/>
    <w:rsid w:val="00B557AE"/>
    <w:rsid w:val="00B81FAD"/>
    <w:rsid w:val="00B924CC"/>
    <w:rsid w:val="00BC052C"/>
    <w:rsid w:val="00BF2643"/>
    <w:rsid w:val="00C45874"/>
    <w:rsid w:val="00C46826"/>
    <w:rsid w:val="00C50D94"/>
    <w:rsid w:val="00C64760"/>
    <w:rsid w:val="00C73046"/>
    <w:rsid w:val="00C85B66"/>
    <w:rsid w:val="00C91FE4"/>
    <w:rsid w:val="00CA210C"/>
    <w:rsid w:val="00CA46AD"/>
    <w:rsid w:val="00CB2CD6"/>
    <w:rsid w:val="00CE14E0"/>
    <w:rsid w:val="00D37717"/>
    <w:rsid w:val="00D60227"/>
    <w:rsid w:val="00D96CD6"/>
    <w:rsid w:val="00DA1EEA"/>
    <w:rsid w:val="00DB2ACA"/>
    <w:rsid w:val="00E30CD0"/>
    <w:rsid w:val="00E447AE"/>
    <w:rsid w:val="00E46134"/>
    <w:rsid w:val="00E91AD2"/>
    <w:rsid w:val="00E933DD"/>
    <w:rsid w:val="00EB6985"/>
    <w:rsid w:val="00F07539"/>
    <w:rsid w:val="00F6059E"/>
    <w:rsid w:val="00F8310F"/>
    <w:rsid w:val="00F85E14"/>
    <w:rsid w:val="00F95A2E"/>
    <w:rsid w:val="00FD0931"/>
    <w:rsid w:val="00FE6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B970"/>
  <w15:docId w15:val="{B492DB21-DEC6-44AF-A79F-F44965F4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1"/>
    <w:qFormat/>
    <w:rsid w:val="00495FD4"/>
    <w:pPr>
      <w:widowControl w:val="0"/>
      <w:autoSpaceDE w:val="0"/>
      <w:autoSpaceDN w:val="0"/>
      <w:adjustRightInd w:val="0"/>
      <w:ind w:left="1358" w:hanging="567"/>
      <w:outlineLvl w:val="0"/>
    </w:pPr>
    <w:rPr>
      <w:rFonts w:eastAsiaTheme="minorEastAs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character" w:styleId="Hyperlink">
    <w:name w:val="Hyperlink"/>
    <w:basedOn w:val="DefaultParagraphFont"/>
    <w:uiPriority w:val="99"/>
    <w:unhideWhenUsed/>
    <w:rsid w:val="00C46826"/>
    <w:rPr>
      <w:color w:val="0563C1" w:themeColor="hyperlink"/>
      <w:u w:val="single"/>
    </w:rPr>
  </w:style>
  <w:style w:type="paragraph" w:customStyle="1" w:styleId="Default">
    <w:name w:val="Default"/>
    <w:rsid w:val="00BC05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37940"/>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1"/>
    <w:rsid w:val="00495FD4"/>
    <w:rPr>
      <w:rFonts w:ascii="Arial" w:eastAsiaTheme="minorEastAsia" w:hAnsi="Arial" w:cs="Arial"/>
      <w:b/>
      <w:bCs/>
      <w:lang w:eastAsia="en-AU"/>
    </w:rPr>
  </w:style>
  <w:style w:type="paragraph" w:styleId="BodyText">
    <w:name w:val="Body Text"/>
    <w:basedOn w:val="Normal"/>
    <w:link w:val="BodyTextChar"/>
    <w:uiPriority w:val="1"/>
    <w:qFormat/>
    <w:rsid w:val="00495FD4"/>
    <w:pPr>
      <w:widowControl w:val="0"/>
      <w:autoSpaceDE w:val="0"/>
      <w:autoSpaceDN w:val="0"/>
      <w:adjustRightInd w:val="0"/>
    </w:pPr>
    <w:rPr>
      <w:rFonts w:eastAsiaTheme="minorEastAsia" w:cs="Arial"/>
    </w:rPr>
  </w:style>
  <w:style w:type="character" w:customStyle="1" w:styleId="BodyTextChar">
    <w:name w:val="Body Text Char"/>
    <w:basedOn w:val="DefaultParagraphFont"/>
    <w:link w:val="BodyText"/>
    <w:uiPriority w:val="1"/>
    <w:rsid w:val="00495FD4"/>
    <w:rPr>
      <w:rFonts w:ascii="Arial" w:eastAsiaTheme="minorEastAsia" w:hAnsi="Arial" w:cs="Arial"/>
      <w:lang w:eastAsia="en-AU"/>
    </w:rPr>
  </w:style>
  <w:style w:type="paragraph" w:customStyle="1" w:styleId="TableParagraph">
    <w:name w:val="Table Paragraph"/>
    <w:basedOn w:val="Normal"/>
    <w:uiPriority w:val="1"/>
    <w:qFormat/>
    <w:rsid w:val="00495FD4"/>
    <w:pPr>
      <w:widowControl w:val="0"/>
      <w:autoSpaceDE w:val="0"/>
      <w:autoSpaceDN w:val="0"/>
      <w:adjustRightInd w:val="0"/>
      <w:spacing w:before="1"/>
      <w:ind w:left="702" w:hanging="568"/>
    </w:pPr>
    <w:rPr>
      <w:rFonts w:eastAsiaTheme="minorEastAsia" w:cs="Arial"/>
      <w:sz w:val="24"/>
      <w:szCs w:val="24"/>
    </w:rPr>
  </w:style>
  <w:style w:type="paragraph" w:styleId="Header">
    <w:name w:val="header"/>
    <w:basedOn w:val="Normal"/>
    <w:link w:val="HeaderChar"/>
    <w:uiPriority w:val="99"/>
    <w:unhideWhenUsed/>
    <w:rsid w:val="00495FD4"/>
    <w:pPr>
      <w:tabs>
        <w:tab w:val="center" w:pos="4513"/>
        <w:tab w:val="right" w:pos="9026"/>
      </w:tabs>
    </w:pPr>
  </w:style>
  <w:style w:type="character" w:customStyle="1" w:styleId="HeaderChar">
    <w:name w:val="Header Char"/>
    <w:basedOn w:val="DefaultParagraphFont"/>
    <w:link w:val="Header"/>
    <w:uiPriority w:val="99"/>
    <w:rsid w:val="00495FD4"/>
    <w:rPr>
      <w:rFonts w:ascii="Arial" w:eastAsia="Times New Roman" w:hAnsi="Arial" w:cs="Times New Roman"/>
      <w:lang w:eastAsia="en-AU"/>
    </w:rPr>
  </w:style>
  <w:style w:type="paragraph" w:styleId="Footer">
    <w:name w:val="footer"/>
    <w:basedOn w:val="Normal"/>
    <w:link w:val="FooterChar"/>
    <w:uiPriority w:val="99"/>
    <w:unhideWhenUsed/>
    <w:rsid w:val="00495FD4"/>
    <w:pPr>
      <w:tabs>
        <w:tab w:val="center" w:pos="4513"/>
        <w:tab w:val="right" w:pos="9026"/>
      </w:tabs>
    </w:pPr>
  </w:style>
  <w:style w:type="character" w:customStyle="1" w:styleId="FooterChar">
    <w:name w:val="Footer Char"/>
    <w:basedOn w:val="DefaultParagraphFont"/>
    <w:link w:val="Footer"/>
    <w:uiPriority w:val="99"/>
    <w:rsid w:val="00495FD4"/>
    <w:rPr>
      <w:rFonts w:ascii="Arial" w:eastAsia="Times New Roman" w:hAnsi="Arial" w:cs="Times New Roman"/>
      <w:lang w:eastAsia="en-AU"/>
    </w:rPr>
  </w:style>
  <w:style w:type="paragraph" w:styleId="Revision">
    <w:name w:val="Revision"/>
    <w:hidden/>
    <w:uiPriority w:val="99"/>
    <w:semiHidden/>
    <w:rsid w:val="00AB68FD"/>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Sonia Cherico</cp:lastModifiedBy>
  <cp:revision>4</cp:revision>
  <dcterms:created xsi:type="dcterms:W3CDTF">2026-03-30T03:17:00Z</dcterms:created>
  <dcterms:modified xsi:type="dcterms:W3CDTF">2026-06-17T01:30:00Z</dcterms:modified>
</cp:coreProperties>
</file>