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A38A" w14:textId="57C3E02A" w:rsidR="00E165CE" w:rsidRPr="00ED46AC" w:rsidRDefault="0022683A" w:rsidP="00B266D9">
      <w:pPr>
        <w:tabs>
          <w:tab w:val="right" w:pos="8647"/>
        </w:tabs>
        <w:spacing w:after="0"/>
        <w:rPr>
          <w:rFonts w:ascii="Arial" w:hAnsi="Arial" w:cs="Arial"/>
        </w:rPr>
      </w:pPr>
      <w:r w:rsidRPr="00ED46AC">
        <w:rPr>
          <w:rFonts w:ascii="Arial" w:hAnsi="Arial" w:cs="Arial"/>
          <w:b/>
        </w:rPr>
        <w:t>P</w:t>
      </w:r>
      <w:r w:rsidR="00313419" w:rsidRPr="00ED46AC">
        <w:rPr>
          <w:rFonts w:ascii="Arial" w:hAnsi="Arial" w:cs="Arial"/>
          <w:b/>
        </w:rPr>
        <w:t>olicy</w:t>
      </w:r>
      <w:r w:rsidRPr="00ED46AC">
        <w:rPr>
          <w:rFonts w:ascii="Arial" w:hAnsi="Arial" w:cs="Arial"/>
          <w:b/>
        </w:rPr>
        <w:t xml:space="preserve"> No:</w:t>
      </w:r>
      <w:r w:rsidR="00265D39" w:rsidRPr="00ED46AC">
        <w:rPr>
          <w:rFonts w:ascii="Arial" w:hAnsi="Arial" w:cs="Arial"/>
          <w:b/>
        </w:rPr>
        <w:t xml:space="preserve"> CP</w:t>
      </w:r>
      <w:r w:rsidR="00AF7036" w:rsidRPr="00ED46AC">
        <w:rPr>
          <w:rFonts w:ascii="Arial" w:hAnsi="Arial" w:cs="Arial"/>
          <w:b/>
        </w:rPr>
        <w:t xml:space="preserve"> 03</w:t>
      </w:r>
      <w:r w:rsidR="00B266D9" w:rsidRPr="00ED46AC">
        <w:rPr>
          <w:rFonts w:ascii="Arial" w:hAnsi="Arial" w:cs="Arial"/>
          <w:b/>
        </w:rPr>
        <w:tab/>
      </w:r>
      <w:r w:rsidR="004B670C" w:rsidRPr="00ED46AC">
        <w:rPr>
          <w:rFonts w:ascii="Arial" w:hAnsi="Arial" w:cs="Arial"/>
          <w:b/>
        </w:rPr>
        <w:t>Reference:</w:t>
      </w:r>
      <w:r w:rsidR="00B266D9" w:rsidRPr="00ED46AC">
        <w:rPr>
          <w:rFonts w:ascii="Arial" w:hAnsi="Arial" w:cs="Arial"/>
          <w:b/>
        </w:rPr>
        <w:t xml:space="preserve">  </w:t>
      </w:r>
      <w:r w:rsidR="00022740">
        <w:rPr>
          <w:rFonts w:ascii="Arial" w:hAnsi="Arial" w:cs="Arial"/>
        </w:rPr>
        <w:t>D-</w:t>
      </w:r>
      <w:r w:rsidR="00C16E75">
        <w:rPr>
          <w:rFonts w:ascii="Arial" w:hAnsi="Arial" w:cs="Arial"/>
        </w:rPr>
        <w:t>2</w:t>
      </w:r>
      <w:r w:rsidR="00681C47">
        <w:rPr>
          <w:rFonts w:ascii="Arial" w:hAnsi="Arial" w:cs="Arial"/>
        </w:rPr>
        <w:t>6</w:t>
      </w:r>
      <w:r w:rsidR="00022740">
        <w:rPr>
          <w:rFonts w:ascii="Arial" w:hAnsi="Arial" w:cs="Arial"/>
        </w:rPr>
        <w:t>-</w:t>
      </w:r>
      <w:r w:rsidR="00E165CE">
        <w:rPr>
          <w:rFonts w:ascii="Arial" w:hAnsi="Arial" w:cs="Arial"/>
        </w:rPr>
        <w:t>0002192</w:t>
      </w:r>
    </w:p>
    <w:p w14:paraId="6515BC32" w14:textId="77777777" w:rsidR="0022683A" w:rsidRPr="00ED46AC" w:rsidRDefault="001A328D" w:rsidP="00833D43">
      <w:pPr>
        <w:shd w:val="clear" w:color="auto" w:fill="0070C0"/>
        <w:tabs>
          <w:tab w:val="left" w:pos="1276"/>
        </w:tabs>
        <w:spacing w:after="0"/>
        <w:ind w:left="1276" w:right="-427" w:hanging="1276"/>
        <w:rPr>
          <w:rFonts w:ascii="Arial" w:hAnsi="Arial" w:cs="Arial"/>
          <w:b/>
          <w:color w:val="FFFFFF" w:themeColor="background1"/>
        </w:rPr>
      </w:pPr>
      <w:r w:rsidRPr="00ED46AC">
        <w:rPr>
          <w:rFonts w:ascii="Arial" w:hAnsi="Arial" w:cs="Arial"/>
          <w:b/>
          <w:color w:val="FFFFFF" w:themeColor="background1"/>
        </w:rPr>
        <w:t xml:space="preserve">Policy </w:t>
      </w:r>
      <w:r w:rsidR="00833D43" w:rsidRPr="00ED46AC">
        <w:rPr>
          <w:rFonts w:ascii="Arial" w:hAnsi="Arial" w:cs="Arial"/>
          <w:b/>
          <w:color w:val="FFFFFF" w:themeColor="background1"/>
        </w:rPr>
        <w:t>Title:</w:t>
      </w:r>
      <w:r w:rsidR="00833D43">
        <w:rPr>
          <w:rFonts w:ascii="Arial" w:hAnsi="Arial" w:cs="Arial"/>
          <w:b/>
          <w:color w:val="FFFFFF" w:themeColor="background1"/>
        </w:rPr>
        <w:t xml:space="preserve"> Overseas/Interstate/Intrastate    </w:t>
      </w:r>
      <w:r w:rsidR="00267F27">
        <w:rPr>
          <w:rFonts w:ascii="Arial" w:hAnsi="Arial" w:cs="Arial"/>
          <w:b/>
          <w:color w:val="FFFFFF" w:themeColor="background1"/>
        </w:rPr>
        <w:t xml:space="preserve">Conference </w:t>
      </w:r>
      <w:r w:rsidR="00833D43">
        <w:rPr>
          <w:rFonts w:ascii="Arial" w:hAnsi="Arial" w:cs="Arial"/>
          <w:b/>
          <w:color w:val="FFFFFF" w:themeColor="background1"/>
        </w:rPr>
        <w:t>Attendance (MRC Councillors)</w:t>
      </w:r>
    </w:p>
    <w:p w14:paraId="0DE1B098" w14:textId="77777777" w:rsidR="00313419" w:rsidRPr="00ED46AC" w:rsidRDefault="00313419" w:rsidP="0022683A">
      <w:pPr>
        <w:spacing w:after="0"/>
        <w:rPr>
          <w:rFonts w:ascii="Arial" w:hAnsi="Arial" w:cs="Arial"/>
          <w:b/>
        </w:rPr>
      </w:pPr>
    </w:p>
    <w:p w14:paraId="2640764F" w14:textId="77777777" w:rsidR="000F11A3" w:rsidRPr="00DB5D9D" w:rsidRDefault="000F11A3" w:rsidP="000F11A3">
      <w:pPr>
        <w:spacing w:after="0"/>
        <w:rPr>
          <w:rFonts w:ascii="Arial" w:hAnsi="Arial" w:cs="Arial"/>
          <w:b/>
          <w:sz w:val="26"/>
          <w:szCs w:val="26"/>
        </w:rPr>
      </w:pPr>
      <w:r w:rsidRPr="00DB5D9D">
        <w:rPr>
          <w:rFonts w:ascii="Arial" w:hAnsi="Arial" w:cs="Arial"/>
          <w:b/>
          <w:sz w:val="26"/>
          <w:szCs w:val="26"/>
        </w:rPr>
        <w:t>Policy Statement:</w:t>
      </w:r>
    </w:p>
    <w:p w14:paraId="12078C4B" w14:textId="77777777" w:rsidR="000F11A3" w:rsidRDefault="00AA62A8" w:rsidP="000F1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this policy is to establish guidelines for Councillors attending conferences </w:t>
      </w:r>
      <w:r w:rsidR="000F11A3" w:rsidRPr="00ED46AC">
        <w:rPr>
          <w:rFonts w:ascii="Arial" w:hAnsi="Arial" w:cs="Arial"/>
        </w:rPr>
        <w:t>Overseas, Interstate</w:t>
      </w:r>
      <w:r w:rsidR="00D3705A">
        <w:rPr>
          <w:rFonts w:ascii="Arial" w:hAnsi="Arial" w:cs="Arial"/>
        </w:rPr>
        <w:t>, including outside and inside the Perth Metro Area.</w:t>
      </w:r>
      <w:r w:rsidR="000F11A3" w:rsidRPr="00ED46AC">
        <w:rPr>
          <w:rFonts w:ascii="Arial" w:hAnsi="Arial" w:cs="Arial"/>
        </w:rPr>
        <w:t xml:space="preserve"> </w:t>
      </w:r>
    </w:p>
    <w:p w14:paraId="469DD9AF" w14:textId="77777777" w:rsidR="00D3705A" w:rsidRDefault="00D3705A" w:rsidP="000F11A3">
      <w:pPr>
        <w:spacing w:after="0"/>
        <w:rPr>
          <w:rFonts w:ascii="Arial" w:hAnsi="Arial" w:cs="Arial"/>
        </w:rPr>
      </w:pPr>
    </w:p>
    <w:p w14:paraId="30B4F082" w14:textId="77777777" w:rsidR="00AA62A8" w:rsidRDefault="00AA62A8" w:rsidP="000F1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D3705A">
        <w:rPr>
          <w:rFonts w:ascii="Arial" w:hAnsi="Arial" w:cs="Arial"/>
        </w:rPr>
        <w:t xml:space="preserve">aim of the Policy is to provide opportunities for </w:t>
      </w:r>
      <w:r>
        <w:rPr>
          <w:rFonts w:ascii="Arial" w:hAnsi="Arial" w:cs="Arial"/>
        </w:rPr>
        <w:t>councillor</w:t>
      </w:r>
      <w:r w:rsidR="00D3705A">
        <w:rPr>
          <w:rFonts w:ascii="Arial" w:hAnsi="Arial" w:cs="Arial"/>
        </w:rPr>
        <w:t xml:space="preserve">s to attend conferences </w:t>
      </w:r>
      <w:r w:rsidR="00200A64">
        <w:rPr>
          <w:rFonts w:ascii="Arial" w:hAnsi="Arial" w:cs="Arial"/>
        </w:rPr>
        <w:t>that align</w:t>
      </w:r>
      <w:r>
        <w:rPr>
          <w:rFonts w:ascii="Arial" w:hAnsi="Arial" w:cs="Arial"/>
        </w:rPr>
        <w:t xml:space="preserve"> with the MRCs VISION “</w:t>
      </w:r>
      <w:r w:rsidRPr="00200A64">
        <w:rPr>
          <w:rFonts w:ascii="Arial" w:hAnsi="Arial" w:cs="Arial"/>
          <w:b/>
          <w:i/>
        </w:rPr>
        <w:t>collaborating for a regional Circular Economy</w:t>
      </w:r>
      <w:r>
        <w:rPr>
          <w:rFonts w:ascii="Arial" w:hAnsi="Arial" w:cs="Arial"/>
        </w:rPr>
        <w:t>” and MISSION of “</w:t>
      </w:r>
      <w:r w:rsidRPr="00200A64">
        <w:rPr>
          <w:rFonts w:ascii="Arial" w:hAnsi="Arial" w:cs="Arial"/>
          <w:b/>
          <w:i/>
        </w:rPr>
        <w:t>To deliver sustainable waste management options for members</w:t>
      </w:r>
      <w:r>
        <w:rPr>
          <w:rFonts w:ascii="Arial" w:hAnsi="Arial" w:cs="Arial"/>
        </w:rPr>
        <w:t>”.</w:t>
      </w:r>
    </w:p>
    <w:p w14:paraId="287B6E37" w14:textId="77777777" w:rsidR="000B3D56" w:rsidRDefault="000B3D56" w:rsidP="000F11A3">
      <w:pPr>
        <w:spacing w:after="0"/>
        <w:rPr>
          <w:rFonts w:ascii="Arial" w:hAnsi="Arial" w:cs="Arial"/>
        </w:rPr>
      </w:pPr>
    </w:p>
    <w:p w14:paraId="223FF64B" w14:textId="77777777" w:rsidR="000B3D56" w:rsidRPr="00200A64" w:rsidRDefault="000B3D56" w:rsidP="00200A64">
      <w:pPr>
        <w:spacing w:after="0"/>
        <w:jc w:val="both"/>
        <w:rPr>
          <w:rFonts w:ascii="Arial" w:hAnsi="Arial" w:cs="Arial"/>
          <w:b/>
        </w:rPr>
      </w:pPr>
      <w:r w:rsidRPr="00200A64">
        <w:rPr>
          <w:rFonts w:ascii="Arial" w:hAnsi="Arial" w:cs="Arial"/>
          <w:b/>
        </w:rPr>
        <w:t>Policy Procedure:</w:t>
      </w:r>
    </w:p>
    <w:p w14:paraId="0AD86B93" w14:textId="77777777" w:rsidR="000B3D56" w:rsidRDefault="000B3D56" w:rsidP="00200A64">
      <w:pPr>
        <w:spacing w:after="0"/>
        <w:jc w:val="both"/>
        <w:rPr>
          <w:rFonts w:ascii="Arial" w:hAnsi="Arial" w:cs="Arial"/>
        </w:rPr>
      </w:pPr>
    </w:p>
    <w:p w14:paraId="2BA38F17" w14:textId="48DB4B0B" w:rsidR="000B3D56" w:rsidRPr="00200A64" w:rsidRDefault="000B3D56" w:rsidP="00200A64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200A64">
        <w:rPr>
          <w:rFonts w:ascii="Arial" w:hAnsi="Arial" w:cs="Arial"/>
        </w:rPr>
        <w:t xml:space="preserve">The Chief Executive Officer will review the program of conferences being attended by employees and if it is considered that the program offers benefits to the Councillors in their role </w:t>
      </w:r>
      <w:r w:rsidR="00D3705A">
        <w:rPr>
          <w:rFonts w:ascii="Arial" w:hAnsi="Arial" w:cs="Arial"/>
        </w:rPr>
        <w:t xml:space="preserve">as an MRC Councillor </w:t>
      </w:r>
      <w:r w:rsidRPr="00200A64">
        <w:rPr>
          <w:rFonts w:ascii="Arial" w:hAnsi="Arial" w:cs="Arial"/>
        </w:rPr>
        <w:t>they will be invited to attend, subject</w:t>
      </w:r>
      <w:r w:rsidR="00E85A34">
        <w:rPr>
          <w:rFonts w:ascii="Arial" w:hAnsi="Arial" w:cs="Arial"/>
        </w:rPr>
        <w:t xml:space="preserve"> to the availability of funds in the</w:t>
      </w:r>
      <w:r w:rsidRPr="00200A64">
        <w:rPr>
          <w:rFonts w:ascii="Arial" w:hAnsi="Arial" w:cs="Arial"/>
        </w:rPr>
        <w:t xml:space="preserve"> budget.   Where there is no budget approved </w:t>
      </w:r>
      <w:r w:rsidR="00D3705A">
        <w:rPr>
          <w:rFonts w:ascii="Arial" w:hAnsi="Arial" w:cs="Arial"/>
        </w:rPr>
        <w:t xml:space="preserve">and the </w:t>
      </w:r>
      <w:r w:rsidRPr="00200A64">
        <w:rPr>
          <w:rFonts w:ascii="Arial" w:hAnsi="Arial" w:cs="Arial"/>
        </w:rPr>
        <w:t>CEO believes it would be beneficial for Councillors to attend a report will be presented to Council inviting one or more councillors to attend.</w:t>
      </w:r>
    </w:p>
    <w:p w14:paraId="3CB53109" w14:textId="77777777" w:rsidR="007175C9" w:rsidRDefault="007175C9" w:rsidP="00200A64">
      <w:pPr>
        <w:spacing w:after="0"/>
        <w:ind w:left="720"/>
        <w:rPr>
          <w:rFonts w:ascii="Arial" w:hAnsi="Arial" w:cs="Arial"/>
        </w:rPr>
      </w:pPr>
    </w:p>
    <w:p w14:paraId="0E26EB48" w14:textId="77777777" w:rsidR="000B3D56" w:rsidRDefault="000B3D56" w:rsidP="00200A64">
      <w:pPr>
        <w:spacing w:after="0"/>
        <w:ind w:left="720"/>
        <w:rPr>
          <w:rFonts w:ascii="Arial" w:hAnsi="Arial" w:cs="Arial"/>
        </w:rPr>
      </w:pPr>
      <w:r w:rsidRPr="00ED46AC">
        <w:rPr>
          <w:rFonts w:ascii="Arial" w:hAnsi="Arial" w:cs="Arial"/>
        </w:rPr>
        <w:t xml:space="preserve">All Councillors will be provided the opportunity to attend </w:t>
      </w:r>
      <w:r w:rsidR="00D3705A">
        <w:rPr>
          <w:rFonts w:ascii="Arial" w:hAnsi="Arial" w:cs="Arial"/>
        </w:rPr>
        <w:t>the annual Waste and Rec</w:t>
      </w:r>
      <w:r w:rsidR="007175C9">
        <w:rPr>
          <w:rFonts w:ascii="Arial" w:hAnsi="Arial" w:cs="Arial"/>
        </w:rPr>
        <w:t>ycling conference held in Perth.</w:t>
      </w:r>
    </w:p>
    <w:p w14:paraId="061CE7CD" w14:textId="77777777" w:rsidR="000B3D56" w:rsidRDefault="000B3D56" w:rsidP="000F11A3">
      <w:pPr>
        <w:spacing w:after="0"/>
        <w:rPr>
          <w:rFonts w:ascii="Arial" w:hAnsi="Arial" w:cs="Arial"/>
        </w:rPr>
      </w:pPr>
    </w:p>
    <w:p w14:paraId="1DF55142" w14:textId="77777777" w:rsidR="000B3D56" w:rsidRPr="00200A64" w:rsidRDefault="000B3D56" w:rsidP="000F11A3">
      <w:pPr>
        <w:spacing w:after="0"/>
        <w:rPr>
          <w:rFonts w:ascii="Arial" w:hAnsi="Arial" w:cs="Arial"/>
          <w:b/>
        </w:rPr>
      </w:pPr>
      <w:r w:rsidRPr="00200A64">
        <w:rPr>
          <w:rFonts w:ascii="Arial" w:hAnsi="Arial" w:cs="Arial"/>
          <w:b/>
        </w:rPr>
        <w:t>CONFERENCES INSIDE THE PERTH METROPOLITAN AREA</w:t>
      </w:r>
    </w:p>
    <w:p w14:paraId="673B03C7" w14:textId="77777777" w:rsidR="000F11A3" w:rsidRPr="00ED46AC" w:rsidRDefault="000F11A3" w:rsidP="000F11A3">
      <w:pPr>
        <w:spacing w:after="0"/>
        <w:jc w:val="both"/>
        <w:rPr>
          <w:rFonts w:ascii="Arial" w:hAnsi="Arial" w:cs="Arial"/>
        </w:rPr>
      </w:pPr>
    </w:p>
    <w:p w14:paraId="5E0CC8FA" w14:textId="77777777" w:rsidR="000F11A3" w:rsidRPr="00ED46AC" w:rsidRDefault="000F11A3" w:rsidP="000F11A3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ED46AC">
        <w:rPr>
          <w:rFonts w:ascii="Arial" w:hAnsi="Arial" w:cs="Arial"/>
        </w:rPr>
        <w:t>Conference attendance, including any dinners and functions that form part of the conference program, will be pre-purchased by the MRC.</w:t>
      </w:r>
      <w:r w:rsidR="007F3FD7">
        <w:rPr>
          <w:rFonts w:ascii="Arial" w:hAnsi="Arial" w:cs="Arial"/>
        </w:rPr>
        <w:t xml:space="preserve">  All other reasonable </w:t>
      </w:r>
      <w:r w:rsidR="0039759E">
        <w:rPr>
          <w:rFonts w:ascii="Arial" w:hAnsi="Arial" w:cs="Arial"/>
        </w:rPr>
        <w:t xml:space="preserve">business </w:t>
      </w:r>
      <w:r w:rsidR="007F3FD7">
        <w:rPr>
          <w:rFonts w:ascii="Arial" w:hAnsi="Arial" w:cs="Arial"/>
        </w:rPr>
        <w:t>expenses incurred (including travel), will be reimbursed at the discretion of the MRC on receipt of a tax invoice.</w:t>
      </w:r>
    </w:p>
    <w:p w14:paraId="2B86F6F0" w14:textId="77777777" w:rsidR="000B3D56" w:rsidRDefault="000B3D56" w:rsidP="00200A64">
      <w:pPr>
        <w:spacing w:after="0"/>
        <w:ind w:left="720"/>
        <w:jc w:val="both"/>
        <w:rPr>
          <w:rFonts w:ascii="Arial" w:hAnsi="Arial" w:cs="Arial"/>
        </w:rPr>
      </w:pPr>
    </w:p>
    <w:p w14:paraId="73BC200A" w14:textId="77777777" w:rsidR="000B3D56" w:rsidRDefault="000B3D56" w:rsidP="000F11A3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Accommodation for Conference</w:t>
      </w:r>
      <w:r w:rsidR="0039759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inside the Perth Metropolitan area is not permitted.</w:t>
      </w:r>
    </w:p>
    <w:p w14:paraId="13260B15" w14:textId="77777777" w:rsidR="000B3D56" w:rsidRPr="00ED46AC" w:rsidRDefault="000B3D56" w:rsidP="00200A64">
      <w:pPr>
        <w:spacing w:after="0"/>
        <w:jc w:val="both"/>
        <w:rPr>
          <w:rFonts w:ascii="Arial" w:hAnsi="Arial" w:cs="Arial"/>
        </w:rPr>
      </w:pPr>
    </w:p>
    <w:p w14:paraId="3583EA63" w14:textId="77777777" w:rsidR="000B3D56" w:rsidRPr="00200A64" w:rsidRDefault="000B3D56" w:rsidP="00200A64">
      <w:pPr>
        <w:spacing w:after="0"/>
        <w:jc w:val="both"/>
        <w:rPr>
          <w:rFonts w:ascii="Arial" w:hAnsi="Arial" w:cs="Arial"/>
          <w:b/>
        </w:rPr>
      </w:pPr>
      <w:r w:rsidRPr="00200A64">
        <w:rPr>
          <w:rFonts w:ascii="Arial" w:hAnsi="Arial" w:cs="Arial"/>
          <w:b/>
        </w:rPr>
        <w:t>CONFERENCES OUTSIDE THE PERTH METROPOLITAN AREA</w:t>
      </w:r>
      <w:r w:rsidR="00D3705A">
        <w:rPr>
          <w:rFonts w:ascii="Arial" w:hAnsi="Arial" w:cs="Arial"/>
          <w:b/>
        </w:rPr>
        <w:t xml:space="preserve"> </w:t>
      </w:r>
      <w:r w:rsidR="00E85A34">
        <w:rPr>
          <w:rFonts w:ascii="Arial" w:hAnsi="Arial" w:cs="Arial"/>
          <w:b/>
        </w:rPr>
        <w:t>AND OVERSEAS</w:t>
      </w:r>
      <w:r w:rsidR="00E85A34" w:rsidRPr="00200A64">
        <w:rPr>
          <w:rFonts w:ascii="Arial" w:hAnsi="Arial" w:cs="Arial"/>
          <w:b/>
        </w:rPr>
        <w:t xml:space="preserve"> </w:t>
      </w:r>
    </w:p>
    <w:p w14:paraId="20C3B5ED" w14:textId="77777777" w:rsidR="00E85A34" w:rsidRDefault="00E85A34" w:rsidP="000F11A3">
      <w:pPr>
        <w:spacing w:after="0"/>
        <w:ind w:left="709"/>
        <w:jc w:val="both"/>
        <w:rPr>
          <w:rFonts w:ascii="Arial" w:hAnsi="Arial" w:cs="Arial"/>
          <w:u w:val="single"/>
        </w:rPr>
      </w:pPr>
    </w:p>
    <w:p w14:paraId="0F271666" w14:textId="77777777" w:rsidR="007F3FD7" w:rsidRPr="00200A64" w:rsidRDefault="00E85A34" w:rsidP="00200A64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200A64">
        <w:rPr>
          <w:rFonts w:ascii="Arial" w:hAnsi="Arial" w:cs="Arial"/>
        </w:rPr>
        <w:t>Conference attendance, including any dinners and functions that form part of the conference program, will be pre-purchased by the MRC.</w:t>
      </w:r>
      <w:r w:rsidR="007F3FD7" w:rsidRPr="00200A64">
        <w:rPr>
          <w:rFonts w:ascii="Arial" w:hAnsi="Arial" w:cs="Arial"/>
        </w:rPr>
        <w:t xml:space="preserve"> All other reasonable </w:t>
      </w:r>
      <w:r w:rsidR="0039759E">
        <w:rPr>
          <w:rFonts w:ascii="Arial" w:hAnsi="Arial" w:cs="Arial"/>
        </w:rPr>
        <w:t xml:space="preserve">business </w:t>
      </w:r>
      <w:r w:rsidR="007F3FD7" w:rsidRPr="00200A64">
        <w:rPr>
          <w:rFonts w:ascii="Arial" w:hAnsi="Arial" w:cs="Arial"/>
        </w:rPr>
        <w:t>expenses incurred</w:t>
      </w:r>
      <w:r w:rsidR="00DE6CA3" w:rsidRPr="00DE6CA3">
        <w:rPr>
          <w:rFonts w:ascii="Arial" w:hAnsi="Arial" w:cs="Arial"/>
        </w:rPr>
        <w:t xml:space="preserve">, </w:t>
      </w:r>
      <w:r w:rsidR="007F3FD7" w:rsidRPr="00200A64">
        <w:rPr>
          <w:rFonts w:ascii="Arial" w:hAnsi="Arial" w:cs="Arial"/>
        </w:rPr>
        <w:t>will be reimbursed at the discretion of the MRC on receipt of a tax invoice.</w:t>
      </w:r>
    </w:p>
    <w:p w14:paraId="6992FD9A" w14:textId="77777777" w:rsidR="00E85A34" w:rsidRDefault="00E85A34" w:rsidP="00E85A34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Economy Class airfares and accommodation will be provided and pre-purchased by the MRC.</w:t>
      </w:r>
    </w:p>
    <w:p w14:paraId="7339C8D1" w14:textId="79FFF092" w:rsidR="005E587E" w:rsidRDefault="005E587E" w:rsidP="005E587E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Airline reward points or benefits under other incentive or loyalty schemes should not be accumulated </w:t>
      </w:r>
      <w:proofErr w:type="gramStart"/>
      <w:r>
        <w:rPr>
          <w:rFonts w:ascii="Arial" w:hAnsi="Arial" w:cs="Arial"/>
        </w:rPr>
        <w:t>in the course of</w:t>
      </w:r>
      <w:proofErr w:type="gramEnd"/>
      <w:r>
        <w:rPr>
          <w:rFonts w:ascii="Arial" w:hAnsi="Arial" w:cs="Arial"/>
        </w:rPr>
        <w:t xml:space="preserve"> air travel.    </w:t>
      </w:r>
    </w:p>
    <w:p w14:paraId="4717DFC7" w14:textId="176BA50B" w:rsidR="00E85A34" w:rsidRDefault="005E587E" w:rsidP="00DE6CA3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Reimbursement of</w:t>
      </w:r>
      <w:r w:rsidR="00E85A34">
        <w:rPr>
          <w:rFonts w:ascii="Arial" w:hAnsi="Arial" w:cs="Arial"/>
        </w:rPr>
        <w:t>of taxi</w:t>
      </w:r>
      <w:r w:rsidR="0039759E">
        <w:rPr>
          <w:rFonts w:ascii="Arial" w:hAnsi="Arial" w:cs="Arial"/>
        </w:rPr>
        <w:t>/ride share</w:t>
      </w:r>
      <w:r w:rsidR="00E85A34">
        <w:rPr>
          <w:rFonts w:ascii="Arial" w:hAnsi="Arial" w:cs="Arial"/>
        </w:rPr>
        <w:t xml:space="preserve"> charges, is available to cover the travel to and from the airport, conference venue and hotel accommodation.   </w:t>
      </w:r>
      <w:r w:rsidR="00872765">
        <w:rPr>
          <w:rFonts w:ascii="Arial" w:hAnsi="Arial" w:cs="Arial"/>
        </w:rPr>
        <w:t>Tax invoice</w:t>
      </w:r>
      <w:r w:rsidR="00E85A34">
        <w:rPr>
          <w:rFonts w:ascii="Arial" w:hAnsi="Arial" w:cs="Arial"/>
        </w:rPr>
        <w:t xml:space="preserve">s must be submitted to the </w:t>
      </w:r>
      <w:r w:rsidR="00DE6CA3">
        <w:rPr>
          <w:rFonts w:ascii="Arial" w:hAnsi="Arial" w:cs="Arial"/>
        </w:rPr>
        <w:t>MRC.</w:t>
      </w:r>
    </w:p>
    <w:p w14:paraId="0F180F5C" w14:textId="77777777" w:rsidR="00B875C1" w:rsidRDefault="00B875C1" w:rsidP="00E165CE">
      <w:pPr>
        <w:spacing w:after="0"/>
        <w:ind w:left="720"/>
        <w:jc w:val="both"/>
        <w:rPr>
          <w:rFonts w:ascii="Arial" w:hAnsi="Arial" w:cs="Arial"/>
        </w:rPr>
      </w:pPr>
    </w:p>
    <w:p w14:paraId="01D724A1" w14:textId="77777777" w:rsidR="00F639A9" w:rsidRPr="00ED46AC" w:rsidRDefault="00F639A9" w:rsidP="00E165CE">
      <w:pPr>
        <w:spacing w:after="0"/>
        <w:jc w:val="both"/>
        <w:rPr>
          <w:rFonts w:ascii="Arial" w:hAnsi="Arial" w:cs="Arial"/>
        </w:rPr>
      </w:pPr>
    </w:p>
    <w:p w14:paraId="79F09F2B" w14:textId="77777777" w:rsidR="00E85A34" w:rsidRDefault="00E85A34" w:rsidP="000F11A3">
      <w:pPr>
        <w:spacing w:after="0"/>
        <w:ind w:left="709"/>
        <w:jc w:val="both"/>
        <w:rPr>
          <w:rFonts w:ascii="Arial" w:hAnsi="Arial" w:cs="Arial"/>
          <w:u w:val="single"/>
        </w:rPr>
      </w:pPr>
    </w:p>
    <w:p w14:paraId="1F173892" w14:textId="77777777" w:rsidR="000F11A3" w:rsidRPr="00ED46AC" w:rsidRDefault="000F11A3" w:rsidP="000F11A3">
      <w:pPr>
        <w:spacing w:after="0"/>
        <w:ind w:left="709"/>
        <w:jc w:val="both"/>
        <w:rPr>
          <w:rFonts w:ascii="Arial" w:hAnsi="Arial" w:cs="Arial"/>
          <w:u w:val="single"/>
        </w:rPr>
      </w:pPr>
      <w:r w:rsidRPr="00ED46AC">
        <w:rPr>
          <w:rFonts w:ascii="Arial" w:hAnsi="Arial" w:cs="Arial"/>
          <w:u w:val="single"/>
        </w:rPr>
        <w:t>Notes</w:t>
      </w:r>
      <w:r w:rsidRPr="00ED46AC">
        <w:rPr>
          <w:rFonts w:ascii="Arial" w:hAnsi="Arial" w:cs="Arial"/>
        </w:rPr>
        <w:t xml:space="preserve">: </w:t>
      </w:r>
      <w:r w:rsidRPr="00ED46AC">
        <w:rPr>
          <w:rFonts w:ascii="Arial" w:hAnsi="Arial" w:cs="Arial"/>
        </w:rPr>
        <w:tab/>
      </w:r>
    </w:p>
    <w:p w14:paraId="58E20DEE" w14:textId="77777777" w:rsidR="000F11A3" w:rsidRPr="00ED46AC" w:rsidRDefault="000F11A3" w:rsidP="000F11A3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ED46AC">
        <w:rPr>
          <w:rFonts w:ascii="Arial" w:hAnsi="Arial" w:cs="Arial"/>
        </w:rPr>
        <w:lastRenderedPageBreak/>
        <w:t xml:space="preserve">Any variation to the above procedures will require approval of the Chief Executive Officer. </w:t>
      </w:r>
    </w:p>
    <w:p w14:paraId="733D5BF1" w14:textId="77777777" w:rsidR="000F11A3" w:rsidRPr="00ED46AC" w:rsidRDefault="000F11A3" w:rsidP="000F11A3">
      <w:pPr>
        <w:spacing w:after="0"/>
        <w:ind w:left="720"/>
        <w:jc w:val="both"/>
        <w:rPr>
          <w:rFonts w:ascii="Arial" w:hAnsi="Arial" w:cs="Arial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707"/>
        <w:gridCol w:w="5070"/>
      </w:tblGrid>
      <w:tr w:rsidR="000F11A3" w:rsidRPr="00ED46AC" w14:paraId="665BD585" w14:textId="77777777" w:rsidTr="00E57A0A">
        <w:tc>
          <w:tcPr>
            <w:tcW w:w="3794" w:type="dxa"/>
          </w:tcPr>
          <w:p w14:paraId="13FD2FC1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hAnsi="Arial" w:cs="Arial"/>
              </w:rPr>
              <w:t xml:space="preserve"> </w:t>
            </w:r>
            <w:r w:rsidRPr="00ED46AC">
              <w:rPr>
                <w:rFonts w:ascii="Arial" w:eastAsiaTheme="minorHAnsi" w:hAnsi="Arial" w:cs="Arial"/>
                <w:b/>
              </w:rPr>
              <w:t>Legislation</w:t>
            </w:r>
          </w:p>
        </w:tc>
        <w:tc>
          <w:tcPr>
            <w:tcW w:w="5209" w:type="dxa"/>
          </w:tcPr>
          <w:p w14:paraId="731DB4AF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</w:rPr>
              <w:t>Local Government Act 1995 s.5.99A</w:t>
            </w:r>
          </w:p>
          <w:p w14:paraId="55A998E8" w14:textId="77777777" w:rsidR="000F11A3" w:rsidRPr="00ED46AC" w:rsidRDefault="000F11A3" w:rsidP="000F11A3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</w:rPr>
              <w:t>Local Government (Admin) regulations 1996 34AB</w:t>
            </w:r>
          </w:p>
        </w:tc>
      </w:tr>
      <w:tr w:rsidR="000F11A3" w:rsidRPr="00ED46AC" w14:paraId="6A6B20A8" w14:textId="77777777" w:rsidTr="00E57A0A">
        <w:tc>
          <w:tcPr>
            <w:tcW w:w="3794" w:type="dxa"/>
          </w:tcPr>
          <w:p w14:paraId="6C1B35F7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  <w:b/>
              </w:rPr>
              <w:t>Responsible Officer</w:t>
            </w:r>
          </w:p>
        </w:tc>
        <w:tc>
          <w:tcPr>
            <w:tcW w:w="5209" w:type="dxa"/>
          </w:tcPr>
          <w:p w14:paraId="6AF23F16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</w:rPr>
              <w:t>Chief Executive Officer</w:t>
            </w:r>
          </w:p>
        </w:tc>
      </w:tr>
      <w:tr w:rsidR="000F11A3" w:rsidRPr="00ED46AC" w14:paraId="53CBDA21" w14:textId="77777777" w:rsidTr="00E57A0A">
        <w:tc>
          <w:tcPr>
            <w:tcW w:w="3794" w:type="dxa"/>
          </w:tcPr>
          <w:p w14:paraId="2AD0BC00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  <w:b/>
              </w:rPr>
              <w:t>Council Meeting Date</w:t>
            </w:r>
          </w:p>
        </w:tc>
        <w:tc>
          <w:tcPr>
            <w:tcW w:w="5209" w:type="dxa"/>
          </w:tcPr>
          <w:p w14:paraId="24C92637" w14:textId="2926B620" w:rsidR="000F11A3" w:rsidRPr="00ED46AC" w:rsidRDefault="005E2687" w:rsidP="00DE6CA3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color w:val="FF0000"/>
              </w:rPr>
              <w:t>11 June 2026</w:t>
            </w:r>
          </w:p>
        </w:tc>
      </w:tr>
      <w:tr w:rsidR="000F11A3" w:rsidRPr="00ED46AC" w14:paraId="5C7F2F94" w14:textId="77777777" w:rsidTr="00E57A0A">
        <w:tc>
          <w:tcPr>
            <w:tcW w:w="3794" w:type="dxa"/>
          </w:tcPr>
          <w:p w14:paraId="4E7C0F23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  <w:b/>
              </w:rPr>
              <w:t>Review History</w:t>
            </w:r>
          </w:p>
        </w:tc>
        <w:tc>
          <w:tcPr>
            <w:tcW w:w="5209" w:type="dxa"/>
          </w:tcPr>
          <w:p w14:paraId="085D81D1" w14:textId="77777777" w:rsidR="000F11A3" w:rsidRDefault="000F11A3" w:rsidP="0015540E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</w:rPr>
              <w:t>20/04/2000, 27/10/2005, 22/04/2010, 02/05/2013, 04/09/2014</w:t>
            </w:r>
            <w:r w:rsidR="002409BD" w:rsidRPr="00ED46AC">
              <w:rPr>
                <w:rFonts w:ascii="Arial" w:eastAsiaTheme="minorHAnsi" w:hAnsi="Arial" w:cs="Arial"/>
              </w:rPr>
              <w:t>, 20/08/2015</w:t>
            </w:r>
            <w:r w:rsidR="00F94DDB" w:rsidRPr="00ED46AC">
              <w:rPr>
                <w:rFonts w:ascii="Arial" w:eastAsiaTheme="minorHAnsi" w:hAnsi="Arial" w:cs="Arial"/>
              </w:rPr>
              <w:t>, 01/09/2016</w:t>
            </w:r>
            <w:r w:rsidR="007A20D0" w:rsidRPr="00ED46AC">
              <w:rPr>
                <w:rFonts w:ascii="Arial" w:eastAsiaTheme="minorHAnsi" w:hAnsi="Arial" w:cs="Arial"/>
              </w:rPr>
              <w:t>; 14/08/2018</w:t>
            </w:r>
            <w:r w:rsidR="00ED46AC">
              <w:rPr>
                <w:rFonts w:ascii="Arial" w:eastAsiaTheme="minorHAnsi" w:hAnsi="Arial" w:cs="Arial"/>
              </w:rPr>
              <w:t xml:space="preserve">, </w:t>
            </w:r>
            <w:r w:rsidR="007B4D98" w:rsidRPr="00E57A0A">
              <w:rPr>
                <w:rFonts w:ascii="Arial" w:eastAsiaTheme="minorHAnsi" w:hAnsi="Arial" w:cs="Arial"/>
              </w:rPr>
              <w:t>13/08/2019</w:t>
            </w:r>
            <w:r w:rsidR="00E57A0A">
              <w:rPr>
                <w:rFonts w:ascii="Arial" w:eastAsiaTheme="minorHAnsi" w:hAnsi="Arial" w:cs="Arial"/>
              </w:rPr>
              <w:t>, 18/06/2020</w:t>
            </w:r>
            <w:r w:rsidR="00872D2B">
              <w:rPr>
                <w:rFonts w:ascii="Arial" w:eastAsiaTheme="minorHAnsi" w:hAnsi="Arial" w:cs="Arial"/>
              </w:rPr>
              <w:t>, 12/08/2021</w:t>
            </w:r>
            <w:r w:rsidR="00267F27">
              <w:rPr>
                <w:rFonts w:ascii="Arial" w:eastAsiaTheme="minorHAnsi" w:hAnsi="Arial" w:cs="Arial"/>
              </w:rPr>
              <w:t>, 19/08/2022</w:t>
            </w:r>
            <w:r w:rsidR="00625D82">
              <w:rPr>
                <w:rFonts w:ascii="Arial" w:eastAsiaTheme="minorHAnsi" w:hAnsi="Arial" w:cs="Arial"/>
              </w:rPr>
              <w:t>,</w:t>
            </w:r>
          </w:p>
          <w:p w14:paraId="0649E913" w14:textId="15466E0E" w:rsidR="00625D82" w:rsidRPr="00ED46AC" w:rsidRDefault="00625D82" w:rsidP="007D243A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06.07.2023</w:t>
            </w:r>
            <w:r w:rsidR="001F75F5">
              <w:rPr>
                <w:rFonts w:ascii="Arial" w:eastAsiaTheme="minorHAnsi" w:hAnsi="Arial" w:cs="Arial"/>
              </w:rPr>
              <w:t xml:space="preserve">; </w:t>
            </w:r>
            <w:r w:rsidR="009B3213">
              <w:rPr>
                <w:rFonts w:ascii="Arial" w:eastAsiaTheme="minorHAnsi" w:hAnsi="Arial" w:cs="Arial"/>
              </w:rPr>
              <w:t>21.09.2023</w:t>
            </w:r>
            <w:r w:rsidR="00BF1774">
              <w:rPr>
                <w:rFonts w:ascii="Arial" w:eastAsiaTheme="minorHAnsi" w:hAnsi="Arial" w:cs="Arial"/>
              </w:rPr>
              <w:t>, 14.05.202</w:t>
            </w:r>
            <w:r w:rsidR="007D243A">
              <w:rPr>
                <w:rFonts w:ascii="Arial" w:eastAsiaTheme="minorHAnsi" w:hAnsi="Arial" w:cs="Arial"/>
              </w:rPr>
              <w:t>4</w:t>
            </w:r>
            <w:r w:rsidR="00C45F2F">
              <w:rPr>
                <w:rFonts w:ascii="Arial" w:eastAsiaTheme="minorHAnsi" w:hAnsi="Arial" w:cs="Arial"/>
              </w:rPr>
              <w:t>, 08.04.2025</w:t>
            </w:r>
            <w:r w:rsidR="00B0167C">
              <w:rPr>
                <w:rFonts w:ascii="Arial" w:eastAsiaTheme="minorHAnsi" w:hAnsi="Arial" w:cs="Arial"/>
              </w:rPr>
              <w:t>, 30/03/2026</w:t>
            </w:r>
          </w:p>
        </w:tc>
      </w:tr>
      <w:tr w:rsidR="000F11A3" w:rsidRPr="00ED46AC" w14:paraId="730875A0" w14:textId="77777777" w:rsidTr="00E57A0A">
        <w:tc>
          <w:tcPr>
            <w:tcW w:w="3794" w:type="dxa"/>
          </w:tcPr>
          <w:p w14:paraId="16512B04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  <w:b/>
              </w:rPr>
              <w:t>Next Review Date</w:t>
            </w:r>
          </w:p>
        </w:tc>
        <w:tc>
          <w:tcPr>
            <w:tcW w:w="5209" w:type="dxa"/>
          </w:tcPr>
          <w:p w14:paraId="42EC01A9" w14:textId="36F61103" w:rsidR="000F11A3" w:rsidRPr="00ED46AC" w:rsidRDefault="00F639A9" w:rsidP="001F75F5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30</w:t>
            </w:r>
            <w:r w:rsidR="00F94DDB" w:rsidRPr="0015540E">
              <w:rPr>
                <w:rFonts w:ascii="Arial" w:eastAsiaTheme="minorHAnsi" w:hAnsi="Arial" w:cs="Arial"/>
              </w:rPr>
              <w:t>/</w:t>
            </w:r>
            <w:r w:rsidRPr="0015540E">
              <w:rPr>
                <w:rFonts w:ascii="Arial" w:eastAsiaTheme="minorHAnsi" w:hAnsi="Arial" w:cs="Arial"/>
              </w:rPr>
              <w:t>0</w:t>
            </w:r>
            <w:r>
              <w:rPr>
                <w:rFonts w:ascii="Arial" w:eastAsiaTheme="minorHAnsi" w:hAnsi="Arial" w:cs="Arial"/>
              </w:rPr>
              <w:t>4</w:t>
            </w:r>
            <w:r w:rsidR="00F94DDB" w:rsidRPr="0015540E">
              <w:rPr>
                <w:rFonts w:ascii="Arial" w:eastAsiaTheme="minorHAnsi" w:hAnsi="Arial" w:cs="Arial"/>
              </w:rPr>
              <w:t>/</w:t>
            </w:r>
            <w:r w:rsidRPr="0015540E">
              <w:rPr>
                <w:rFonts w:ascii="Arial" w:eastAsiaTheme="minorHAnsi" w:hAnsi="Arial" w:cs="Arial"/>
              </w:rPr>
              <w:t>20</w:t>
            </w:r>
            <w:r>
              <w:rPr>
                <w:rFonts w:ascii="Arial" w:eastAsiaTheme="minorHAnsi" w:hAnsi="Arial" w:cs="Arial"/>
              </w:rPr>
              <w:t>27</w:t>
            </w:r>
          </w:p>
        </w:tc>
      </w:tr>
      <w:tr w:rsidR="000F11A3" w:rsidRPr="00ED46AC" w14:paraId="75D386E1" w14:textId="77777777" w:rsidTr="00E57A0A">
        <w:tc>
          <w:tcPr>
            <w:tcW w:w="3794" w:type="dxa"/>
          </w:tcPr>
          <w:p w14:paraId="26957509" w14:textId="77777777" w:rsidR="000F11A3" w:rsidRPr="00ED46AC" w:rsidRDefault="000F11A3" w:rsidP="00C71BB1">
            <w:pPr>
              <w:rPr>
                <w:rFonts w:ascii="Arial" w:eastAsiaTheme="minorHAnsi" w:hAnsi="Arial" w:cs="Arial"/>
                <w:b/>
              </w:rPr>
            </w:pPr>
            <w:r w:rsidRPr="00ED46AC">
              <w:rPr>
                <w:rFonts w:ascii="Arial" w:eastAsiaTheme="minorHAnsi" w:hAnsi="Arial" w:cs="Arial"/>
                <w:b/>
              </w:rPr>
              <w:t>Delegation to the Chief Executive Officer</w:t>
            </w:r>
          </w:p>
        </w:tc>
        <w:tc>
          <w:tcPr>
            <w:tcW w:w="5209" w:type="dxa"/>
          </w:tcPr>
          <w:p w14:paraId="4EB7A220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</w:rPr>
              <w:t>Nil</w:t>
            </w:r>
          </w:p>
        </w:tc>
      </w:tr>
      <w:tr w:rsidR="003B5E74" w:rsidRPr="00ED46AC" w14:paraId="1BFAF468" w14:textId="77777777" w:rsidTr="00E57A0A">
        <w:tc>
          <w:tcPr>
            <w:tcW w:w="3794" w:type="dxa"/>
          </w:tcPr>
          <w:p w14:paraId="4EEA5D19" w14:textId="77777777" w:rsidR="003B5E74" w:rsidRPr="00ED46AC" w:rsidRDefault="003B5E74" w:rsidP="00C71B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History</w:t>
            </w:r>
          </w:p>
        </w:tc>
        <w:tc>
          <w:tcPr>
            <w:tcW w:w="5209" w:type="dxa"/>
          </w:tcPr>
          <w:p w14:paraId="10026F90" w14:textId="77777777" w:rsidR="003B5E74" w:rsidRDefault="003B5E74" w:rsidP="00DA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12/08/2021 – </w:t>
            </w:r>
            <w:r w:rsidR="00DA21CE">
              <w:rPr>
                <w:rFonts w:ascii="Arial" w:hAnsi="Arial" w:cs="Arial"/>
              </w:rPr>
              <w:t>rate increase</w:t>
            </w:r>
            <w:r>
              <w:rPr>
                <w:rFonts w:ascii="Arial" w:hAnsi="Arial" w:cs="Arial"/>
              </w:rPr>
              <w:t xml:space="preserve"> item 3 </w:t>
            </w:r>
            <w:r w:rsidR="00DA21CE">
              <w:rPr>
                <w:rFonts w:ascii="Arial" w:hAnsi="Arial" w:cs="Arial"/>
              </w:rPr>
              <w:t>and change to relevant conference item 7.</w:t>
            </w:r>
          </w:p>
          <w:p w14:paraId="487E94DE" w14:textId="77777777" w:rsidR="006B4060" w:rsidRDefault="006B4060" w:rsidP="00DA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19/08/2022 – reference to Director Corporate Services changed to Finance Manager</w:t>
            </w:r>
          </w:p>
          <w:p w14:paraId="3B21F346" w14:textId="77777777" w:rsidR="001659B1" w:rsidRDefault="001659B1" w:rsidP="00DA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change</w:t>
            </w:r>
          </w:p>
          <w:p w14:paraId="207E8A1E" w14:textId="77777777" w:rsidR="006A52C3" w:rsidRDefault="006A52C3" w:rsidP="00DE6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06/07/2023 provide further clarity on intrastate meaning</w:t>
            </w:r>
          </w:p>
          <w:p w14:paraId="31855187" w14:textId="77777777" w:rsidR="00DE6CA3" w:rsidRDefault="00DE6CA3" w:rsidP="00DE6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8.8.2023  Changes to clarify conferences inside/outside Perth Metro Area</w:t>
            </w:r>
          </w:p>
          <w:p w14:paraId="3B77A0D2" w14:textId="77777777" w:rsidR="00BF1774" w:rsidRDefault="00BF1774" w:rsidP="00DE6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14/05/2023 no change</w:t>
            </w:r>
          </w:p>
          <w:p w14:paraId="7CD1D2DC" w14:textId="77777777" w:rsidR="001A3722" w:rsidRDefault="001A3722" w:rsidP="00DE6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08/04/2025 no change</w:t>
            </w:r>
          </w:p>
          <w:p w14:paraId="62957D76" w14:textId="32F5A823" w:rsidR="00F639A9" w:rsidRPr="00ED46AC" w:rsidRDefault="00C56724" w:rsidP="00DE6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22/3/2026   reward point clauses added </w:t>
            </w:r>
          </w:p>
        </w:tc>
      </w:tr>
    </w:tbl>
    <w:p w14:paraId="057EF9C6" w14:textId="77777777" w:rsidR="000F11A3" w:rsidRPr="00ED46AC" w:rsidRDefault="000F11A3" w:rsidP="0022683A">
      <w:pPr>
        <w:spacing w:after="0"/>
        <w:rPr>
          <w:rFonts w:ascii="Arial" w:hAnsi="Arial" w:cs="Arial"/>
          <w:b/>
        </w:rPr>
      </w:pPr>
    </w:p>
    <w:sectPr w:rsidR="000F11A3" w:rsidRPr="00ED46AC" w:rsidSect="005209B4"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11EE" w14:textId="77777777" w:rsidR="00B02E7E" w:rsidRDefault="00B02E7E" w:rsidP="005966D8">
      <w:pPr>
        <w:spacing w:after="0" w:line="240" w:lineRule="auto"/>
      </w:pPr>
      <w:r>
        <w:separator/>
      </w:r>
    </w:p>
  </w:endnote>
  <w:endnote w:type="continuationSeparator" w:id="0">
    <w:p w14:paraId="0891697B" w14:textId="77777777" w:rsidR="00B02E7E" w:rsidRDefault="00B02E7E" w:rsidP="0059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CBD8" w14:textId="77777777" w:rsidR="00B02E7E" w:rsidRDefault="00B02E7E" w:rsidP="005966D8">
      <w:pPr>
        <w:spacing w:after="0" w:line="240" w:lineRule="auto"/>
      </w:pPr>
      <w:r>
        <w:separator/>
      </w:r>
    </w:p>
  </w:footnote>
  <w:footnote w:type="continuationSeparator" w:id="0">
    <w:p w14:paraId="66F79E83" w14:textId="77777777" w:rsidR="00B02E7E" w:rsidRDefault="00B02E7E" w:rsidP="00596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54191"/>
    <w:multiLevelType w:val="hybridMultilevel"/>
    <w:tmpl w:val="02EC6C96"/>
    <w:lvl w:ilvl="0" w:tplc="A2062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54164"/>
    <w:multiLevelType w:val="hybridMultilevel"/>
    <w:tmpl w:val="FDCAD1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C4AA7"/>
    <w:multiLevelType w:val="hybridMultilevel"/>
    <w:tmpl w:val="0DBC62D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6DCA52E2">
      <w:start w:val="1"/>
      <w:numFmt w:val="decimal"/>
      <w:lvlText w:val="%3."/>
      <w:lvlJc w:val="left"/>
      <w:pPr>
        <w:ind w:left="2204" w:hanging="360"/>
      </w:pPr>
    </w:lvl>
    <w:lvl w:ilvl="3" w:tplc="6B844698">
      <w:start w:val="2"/>
      <w:numFmt w:val="decimal"/>
      <w:lvlText w:val="%4"/>
      <w:lvlJc w:val="left"/>
      <w:pPr>
        <w:ind w:left="2520" w:hanging="360"/>
      </w:p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013689"/>
    <w:multiLevelType w:val="hybridMultilevel"/>
    <w:tmpl w:val="DEC26E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1E6C"/>
    <w:multiLevelType w:val="hybridMultilevel"/>
    <w:tmpl w:val="895AA7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5440C"/>
    <w:multiLevelType w:val="hybridMultilevel"/>
    <w:tmpl w:val="7EDE75AA"/>
    <w:lvl w:ilvl="0" w:tplc="79EE30E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A7894"/>
    <w:multiLevelType w:val="hybridMultilevel"/>
    <w:tmpl w:val="FDCAD1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491309">
    <w:abstractNumId w:val="0"/>
  </w:num>
  <w:num w:numId="2" w16cid:durableId="734625348">
    <w:abstractNumId w:val="0"/>
  </w:num>
  <w:num w:numId="3" w16cid:durableId="1407729186">
    <w:abstractNumId w:val="5"/>
  </w:num>
  <w:num w:numId="4" w16cid:durableId="273513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5" w16cid:durableId="1939555539">
    <w:abstractNumId w:val="2"/>
  </w:num>
  <w:num w:numId="6" w16cid:durableId="994797937">
    <w:abstractNumId w:val="1"/>
  </w:num>
  <w:num w:numId="7" w16cid:durableId="1269580420">
    <w:abstractNumId w:val="4"/>
  </w:num>
  <w:num w:numId="8" w16cid:durableId="762998859">
    <w:abstractNumId w:val="3"/>
  </w:num>
  <w:num w:numId="9" w16cid:durableId="1812140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jYwtjQ2NAAyjZV0lIJTi4sz8/NACgxrAdCp7ZwsAAAA"/>
  </w:docVars>
  <w:rsids>
    <w:rsidRoot w:val="001804D6"/>
    <w:rsid w:val="00002A58"/>
    <w:rsid w:val="00022740"/>
    <w:rsid w:val="0004032D"/>
    <w:rsid w:val="00056207"/>
    <w:rsid w:val="00064685"/>
    <w:rsid w:val="0007201A"/>
    <w:rsid w:val="00085CC0"/>
    <w:rsid w:val="000B3D56"/>
    <w:rsid w:val="000C1B05"/>
    <w:rsid w:val="000E16EA"/>
    <w:rsid w:val="000E1961"/>
    <w:rsid w:val="000F11A3"/>
    <w:rsid w:val="00110602"/>
    <w:rsid w:val="0012665E"/>
    <w:rsid w:val="00130806"/>
    <w:rsid w:val="00153B8D"/>
    <w:rsid w:val="0015540E"/>
    <w:rsid w:val="001659B1"/>
    <w:rsid w:val="001756CB"/>
    <w:rsid w:val="001804D6"/>
    <w:rsid w:val="001942BC"/>
    <w:rsid w:val="00195DDA"/>
    <w:rsid w:val="001A328D"/>
    <w:rsid w:val="001A3722"/>
    <w:rsid w:val="001C22D1"/>
    <w:rsid w:val="001D2935"/>
    <w:rsid w:val="001D314B"/>
    <w:rsid w:val="001E0853"/>
    <w:rsid w:val="001E530C"/>
    <w:rsid w:val="001F75F5"/>
    <w:rsid w:val="00200A64"/>
    <w:rsid w:val="00217B0C"/>
    <w:rsid w:val="0022469A"/>
    <w:rsid w:val="0022683A"/>
    <w:rsid w:val="0023619D"/>
    <w:rsid w:val="002409BD"/>
    <w:rsid w:val="00246A2D"/>
    <w:rsid w:val="00261005"/>
    <w:rsid w:val="00265D39"/>
    <w:rsid w:val="00267F27"/>
    <w:rsid w:val="00276D58"/>
    <w:rsid w:val="002C6EDB"/>
    <w:rsid w:val="002D5CBF"/>
    <w:rsid w:val="002E2694"/>
    <w:rsid w:val="002F0C73"/>
    <w:rsid w:val="002F2BDD"/>
    <w:rsid w:val="00313419"/>
    <w:rsid w:val="00341C46"/>
    <w:rsid w:val="0036522E"/>
    <w:rsid w:val="0038589B"/>
    <w:rsid w:val="00394615"/>
    <w:rsid w:val="0039759E"/>
    <w:rsid w:val="003B33EE"/>
    <w:rsid w:val="003B5E74"/>
    <w:rsid w:val="003C2479"/>
    <w:rsid w:val="003F057F"/>
    <w:rsid w:val="0040015A"/>
    <w:rsid w:val="004050D0"/>
    <w:rsid w:val="00414C06"/>
    <w:rsid w:val="0043404E"/>
    <w:rsid w:val="00436BBB"/>
    <w:rsid w:val="0044602B"/>
    <w:rsid w:val="00471D33"/>
    <w:rsid w:val="00481197"/>
    <w:rsid w:val="004910BC"/>
    <w:rsid w:val="004B670C"/>
    <w:rsid w:val="004C250B"/>
    <w:rsid w:val="004C3298"/>
    <w:rsid w:val="004C42D0"/>
    <w:rsid w:val="004D3805"/>
    <w:rsid w:val="005209B4"/>
    <w:rsid w:val="00524AD6"/>
    <w:rsid w:val="0054451D"/>
    <w:rsid w:val="00555BA6"/>
    <w:rsid w:val="00557808"/>
    <w:rsid w:val="00570F0A"/>
    <w:rsid w:val="005966D8"/>
    <w:rsid w:val="005B53D1"/>
    <w:rsid w:val="005E2687"/>
    <w:rsid w:val="005E587E"/>
    <w:rsid w:val="00601F5E"/>
    <w:rsid w:val="00625D82"/>
    <w:rsid w:val="00637BCA"/>
    <w:rsid w:val="006423ED"/>
    <w:rsid w:val="00664B42"/>
    <w:rsid w:val="00667EC8"/>
    <w:rsid w:val="006800FE"/>
    <w:rsid w:val="00681C47"/>
    <w:rsid w:val="006A52C3"/>
    <w:rsid w:val="006B2083"/>
    <w:rsid w:val="006B4060"/>
    <w:rsid w:val="006B5C30"/>
    <w:rsid w:val="006D0DAF"/>
    <w:rsid w:val="007175C9"/>
    <w:rsid w:val="00756A88"/>
    <w:rsid w:val="00760370"/>
    <w:rsid w:val="00765EC8"/>
    <w:rsid w:val="007850DA"/>
    <w:rsid w:val="007859E7"/>
    <w:rsid w:val="00797582"/>
    <w:rsid w:val="007A20D0"/>
    <w:rsid w:val="007B4D98"/>
    <w:rsid w:val="007C5826"/>
    <w:rsid w:val="007D243A"/>
    <w:rsid w:val="007F3FD7"/>
    <w:rsid w:val="007F4837"/>
    <w:rsid w:val="00826B6D"/>
    <w:rsid w:val="00832BBA"/>
    <w:rsid w:val="00833D43"/>
    <w:rsid w:val="00836B9B"/>
    <w:rsid w:val="00872765"/>
    <w:rsid w:val="00872D2B"/>
    <w:rsid w:val="008F10A4"/>
    <w:rsid w:val="009250C8"/>
    <w:rsid w:val="00930232"/>
    <w:rsid w:val="009675FC"/>
    <w:rsid w:val="00975E87"/>
    <w:rsid w:val="00985E97"/>
    <w:rsid w:val="009A02AF"/>
    <w:rsid w:val="009B3213"/>
    <w:rsid w:val="009E7AF5"/>
    <w:rsid w:val="00A0018D"/>
    <w:rsid w:val="00A03BC3"/>
    <w:rsid w:val="00A25633"/>
    <w:rsid w:val="00A31A84"/>
    <w:rsid w:val="00A42EC6"/>
    <w:rsid w:val="00A85E2C"/>
    <w:rsid w:val="00A86A30"/>
    <w:rsid w:val="00AA62A8"/>
    <w:rsid w:val="00AB634F"/>
    <w:rsid w:val="00AF7036"/>
    <w:rsid w:val="00B0167C"/>
    <w:rsid w:val="00B02E7E"/>
    <w:rsid w:val="00B1464C"/>
    <w:rsid w:val="00B1784C"/>
    <w:rsid w:val="00B266D9"/>
    <w:rsid w:val="00B55D22"/>
    <w:rsid w:val="00B61FC6"/>
    <w:rsid w:val="00B620D3"/>
    <w:rsid w:val="00B74948"/>
    <w:rsid w:val="00B83EE2"/>
    <w:rsid w:val="00B875C1"/>
    <w:rsid w:val="00BA27CA"/>
    <w:rsid w:val="00BB30E7"/>
    <w:rsid w:val="00BF09BA"/>
    <w:rsid w:val="00BF1774"/>
    <w:rsid w:val="00BF6E5D"/>
    <w:rsid w:val="00C1399B"/>
    <w:rsid w:val="00C14A11"/>
    <w:rsid w:val="00C16E75"/>
    <w:rsid w:val="00C254E3"/>
    <w:rsid w:val="00C300A9"/>
    <w:rsid w:val="00C433F9"/>
    <w:rsid w:val="00C45F2F"/>
    <w:rsid w:val="00C56724"/>
    <w:rsid w:val="00C57AE7"/>
    <w:rsid w:val="00D006CE"/>
    <w:rsid w:val="00D3705A"/>
    <w:rsid w:val="00D43E2B"/>
    <w:rsid w:val="00D57475"/>
    <w:rsid w:val="00D60227"/>
    <w:rsid w:val="00D64089"/>
    <w:rsid w:val="00D712B4"/>
    <w:rsid w:val="00D737FB"/>
    <w:rsid w:val="00D94067"/>
    <w:rsid w:val="00DA21CE"/>
    <w:rsid w:val="00DA52B3"/>
    <w:rsid w:val="00DA5604"/>
    <w:rsid w:val="00DB5D9D"/>
    <w:rsid w:val="00DE6CA3"/>
    <w:rsid w:val="00E06768"/>
    <w:rsid w:val="00E165CE"/>
    <w:rsid w:val="00E367D8"/>
    <w:rsid w:val="00E57A0A"/>
    <w:rsid w:val="00E817E0"/>
    <w:rsid w:val="00E81BEF"/>
    <w:rsid w:val="00E85A34"/>
    <w:rsid w:val="00E91875"/>
    <w:rsid w:val="00E943DF"/>
    <w:rsid w:val="00E95928"/>
    <w:rsid w:val="00EA299B"/>
    <w:rsid w:val="00EA789E"/>
    <w:rsid w:val="00EB320D"/>
    <w:rsid w:val="00EB3538"/>
    <w:rsid w:val="00ED46AC"/>
    <w:rsid w:val="00F376AF"/>
    <w:rsid w:val="00F639A9"/>
    <w:rsid w:val="00F67395"/>
    <w:rsid w:val="00F94DDB"/>
    <w:rsid w:val="00FE29AF"/>
    <w:rsid w:val="00FE3F46"/>
    <w:rsid w:val="00FE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79015"/>
  <w15:docId w15:val="{88C36DA9-F254-400F-B9FB-D7FD07FC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7859E7"/>
    <w:pPr>
      <w:keepNext/>
      <w:keepLines/>
      <w:spacing w:after="120" w:line="240" w:lineRule="auto"/>
      <w:ind w:left="397" w:hanging="397"/>
      <w:outlineLvl w:val="0"/>
    </w:pPr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7859E7"/>
    <w:pPr>
      <w:keepNext/>
      <w:keepLines/>
      <w:tabs>
        <w:tab w:val="left" w:pos="567"/>
      </w:tabs>
      <w:spacing w:after="120" w:line="240" w:lineRule="auto"/>
      <w:ind w:left="567"/>
      <w:outlineLvl w:val="1"/>
    </w:pPr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E7"/>
    <w:pPr>
      <w:keepNext/>
      <w:keepLines/>
      <w:tabs>
        <w:tab w:val="left" w:pos="1134"/>
      </w:tabs>
      <w:spacing w:after="120" w:line="240" w:lineRule="auto"/>
      <w:ind w:left="1134"/>
      <w:outlineLvl w:val="2"/>
    </w:pPr>
    <w:rPr>
      <w:rFonts w:ascii="Arial" w:eastAsiaTheme="majorEastAsia" w:hAnsi="Arial" w:cstheme="majorBidi"/>
      <w:b/>
      <w:bCs/>
      <w:i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9E7"/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59E7"/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59E7"/>
    <w:rPr>
      <w:rFonts w:ascii="Arial" w:eastAsiaTheme="majorEastAsia" w:hAnsi="Arial" w:cstheme="majorBidi"/>
      <w:b/>
      <w:bCs/>
      <w:i/>
      <w:color w:val="365F91" w:themeColor="accent1" w:themeShade="BF"/>
    </w:rPr>
  </w:style>
  <w:style w:type="table" w:styleId="TableGrid">
    <w:name w:val="Table Grid"/>
    <w:basedOn w:val="TableNormal"/>
    <w:uiPriority w:val="59"/>
    <w:rsid w:val="0066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B4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6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F11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0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6D8"/>
  </w:style>
  <w:style w:type="paragraph" w:styleId="Footer">
    <w:name w:val="footer"/>
    <w:basedOn w:val="Normal"/>
    <w:link w:val="FooterChar"/>
    <w:uiPriority w:val="99"/>
    <w:unhideWhenUsed/>
    <w:rsid w:val="0059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6D8"/>
  </w:style>
  <w:style w:type="paragraph" w:styleId="Revision">
    <w:name w:val="Revision"/>
    <w:hidden/>
    <w:uiPriority w:val="99"/>
    <w:semiHidden/>
    <w:rsid w:val="008F1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7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694AC-DC68-45FD-BB57-D200A2D1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Mindarie Regional Council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governance</dc:creator>
  <cp:lastModifiedBy>Sonia Cherico</cp:lastModifiedBy>
  <cp:revision>12</cp:revision>
  <cp:lastPrinted>2019-09-03T06:35:00Z</cp:lastPrinted>
  <dcterms:created xsi:type="dcterms:W3CDTF">2026-03-22T13:33:00Z</dcterms:created>
  <dcterms:modified xsi:type="dcterms:W3CDTF">2026-06-17T01:36:00Z</dcterms:modified>
</cp:coreProperties>
</file>