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12B4" w14:textId="48206613" w:rsidR="00237216" w:rsidRPr="00AD6402" w:rsidRDefault="00237216" w:rsidP="00220131">
      <w:pPr>
        <w:tabs>
          <w:tab w:val="right" w:pos="8647"/>
        </w:tabs>
        <w:spacing w:after="0"/>
        <w:rPr>
          <w:rFonts w:ascii="Arial" w:hAnsi="Arial" w:cs="Arial"/>
          <w:b/>
        </w:rPr>
      </w:pPr>
      <w:r w:rsidRPr="00AD6402">
        <w:rPr>
          <w:rFonts w:ascii="Arial" w:hAnsi="Arial" w:cs="Arial"/>
          <w:b/>
        </w:rPr>
        <w:t xml:space="preserve">Policy No: </w:t>
      </w:r>
      <w:r w:rsidR="0077782C">
        <w:rPr>
          <w:rFonts w:ascii="Arial" w:hAnsi="Arial" w:cs="Arial"/>
          <w:b/>
        </w:rPr>
        <w:t>CP24</w:t>
      </w:r>
      <w:r w:rsidR="00220131" w:rsidRPr="00AD6402">
        <w:rPr>
          <w:rFonts w:ascii="Arial" w:hAnsi="Arial" w:cs="Arial"/>
          <w:b/>
        </w:rPr>
        <w:tab/>
      </w:r>
      <w:r w:rsidRPr="00AD6402">
        <w:rPr>
          <w:rFonts w:ascii="Arial" w:hAnsi="Arial" w:cs="Arial"/>
          <w:b/>
        </w:rPr>
        <w:t>Reference:</w:t>
      </w:r>
      <w:r w:rsidR="00E3400F" w:rsidRPr="00AD6402">
        <w:rPr>
          <w:rFonts w:ascii="Arial" w:hAnsi="Arial" w:cs="Arial"/>
          <w:b/>
        </w:rPr>
        <w:t xml:space="preserve"> </w:t>
      </w:r>
      <w:r w:rsidR="00E3400F" w:rsidRPr="00AD6402">
        <w:rPr>
          <w:rFonts w:ascii="Arial" w:hAnsi="Arial" w:cs="Arial"/>
        </w:rPr>
        <w:t xml:space="preserve"> </w:t>
      </w:r>
      <w:r w:rsidR="00E3400F" w:rsidRPr="00084A57">
        <w:rPr>
          <w:rFonts w:ascii="Arial" w:hAnsi="Arial" w:cs="Arial"/>
        </w:rPr>
        <w:t>D</w:t>
      </w:r>
      <w:r w:rsidR="001401D7" w:rsidRPr="00084A57">
        <w:rPr>
          <w:rFonts w:ascii="Arial" w:hAnsi="Arial" w:cs="Arial"/>
        </w:rPr>
        <w:t>-</w:t>
      </w:r>
      <w:r w:rsidR="00ED3CA6" w:rsidRPr="00084A57">
        <w:rPr>
          <w:rFonts w:ascii="Arial" w:hAnsi="Arial" w:cs="Arial"/>
        </w:rPr>
        <w:t>2</w:t>
      </w:r>
      <w:r w:rsidR="00795786">
        <w:rPr>
          <w:rFonts w:ascii="Arial" w:hAnsi="Arial" w:cs="Arial"/>
        </w:rPr>
        <w:t>5</w:t>
      </w:r>
      <w:r w:rsidR="001401D7" w:rsidRPr="00084A57">
        <w:rPr>
          <w:rFonts w:ascii="Arial" w:hAnsi="Arial" w:cs="Arial"/>
        </w:rPr>
        <w:t>-</w:t>
      </w:r>
      <w:r w:rsidR="00ED3CA6">
        <w:rPr>
          <w:rFonts w:ascii="Arial" w:hAnsi="Arial" w:cs="Arial"/>
        </w:rPr>
        <w:t>000</w:t>
      </w:r>
      <w:r w:rsidR="00C807E5">
        <w:rPr>
          <w:rFonts w:ascii="Arial" w:hAnsi="Arial" w:cs="Arial"/>
        </w:rPr>
        <w:t>4860</w:t>
      </w:r>
    </w:p>
    <w:p w14:paraId="71B8623F" w14:textId="77777777" w:rsidR="00237216" w:rsidRPr="00AD6402" w:rsidRDefault="00237216" w:rsidP="00237216">
      <w:pPr>
        <w:spacing w:after="0"/>
        <w:rPr>
          <w:rFonts w:ascii="Arial" w:hAnsi="Arial" w:cs="Arial"/>
          <w:b/>
        </w:rPr>
      </w:pPr>
    </w:p>
    <w:p w14:paraId="499E0971" w14:textId="36CB3588" w:rsidR="00237216" w:rsidRPr="00AD6402" w:rsidRDefault="00237216" w:rsidP="0072492E">
      <w:pPr>
        <w:shd w:val="clear" w:color="auto" w:fill="0070C0"/>
        <w:spacing w:after="0"/>
        <w:rPr>
          <w:rFonts w:ascii="Arial" w:hAnsi="Arial" w:cs="Arial"/>
          <w:b/>
          <w:color w:val="FFFFFF" w:themeColor="background1"/>
        </w:rPr>
      </w:pPr>
      <w:r w:rsidRPr="00AD6402">
        <w:rPr>
          <w:rFonts w:ascii="Arial" w:hAnsi="Arial" w:cs="Arial"/>
          <w:b/>
          <w:color w:val="FFFFFF" w:themeColor="background1"/>
        </w:rPr>
        <w:t xml:space="preserve">Policy Title: </w:t>
      </w:r>
      <w:r w:rsidR="00E3400F" w:rsidRPr="00AD6402">
        <w:rPr>
          <w:rFonts w:ascii="Arial" w:hAnsi="Arial" w:cs="Arial"/>
          <w:b/>
          <w:color w:val="FFFFFF" w:themeColor="background1"/>
        </w:rPr>
        <w:t xml:space="preserve"> </w:t>
      </w:r>
      <w:r w:rsidR="00504E23">
        <w:rPr>
          <w:rFonts w:ascii="Arial" w:hAnsi="Arial" w:cs="Arial"/>
          <w:b/>
          <w:color w:val="FFFFFF" w:themeColor="background1"/>
        </w:rPr>
        <w:t>Fraud and Misconduct Control and Resilience</w:t>
      </w:r>
    </w:p>
    <w:p w14:paraId="4EDD05F2" w14:textId="77777777" w:rsidR="00237216" w:rsidRPr="00313805" w:rsidRDefault="00237216" w:rsidP="00237216">
      <w:pPr>
        <w:spacing w:after="0"/>
        <w:rPr>
          <w:rFonts w:ascii="Arial" w:hAnsi="Arial" w:cs="Arial"/>
          <w:b/>
          <w:sz w:val="26"/>
          <w:szCs w:val="26"/>
        </w:rPr>
      </w:pPr>
    </w:p>
    <w:p w14:paraId="103A0336" w14:textId="77777777" w:rsidR="00665C3D" w:rsidRPr="00313805" w:rsidRDefault="00665C3D" w:rsidP="00665C3D">
      <w:pPr>
        <w:spacing w:after="0"/>
        <w:rPr>
          <w:rFonts w:ascii="Arial" w:hAnsi="Arial" w:cs="Arial"/>
          <w:b/>
          <w:sz w:val="26"/>
          <w:szCs w:val="26"/>
        </w:rPr>
      </w:pPr>
      <w:r w:rsidRPr="00313805">
        <w:rPr>
          <w:rFonts w:ascii="Arial" w:hAnsi="Arial" w:cs="Arial"/>
          <w:b/>
          <w:sz w:val="26"/>
          <w:szCs w:val="26"/>
        </w:rPr>
        <w:t>Policy Statement:</w:t>
      </w:r>
    </w:p>
    <w:p w14:paraId="18924FBF" w14:textId="3D5BAA29" w:rsidR="00504E23" w:rsidRDefault="00504E23" w:rsidP="00504E23">
      <w:pPr>
        <w:pStyle w:val="BodyText"/>
        <w:ind w:right="232"/>
        <w:jc w:val="both"/>
      </w:pPr>
      <w:r>
        <w:t>In adopting a zero tolerance approach to Fraud and Misconduct, the Mindarie Regional Council (MRC) will appropriately address all allegations and suspected instances of Fraud and Misconduct. This includes notifying,</w:t>
      </w:r>
      <w:r>
        <w:rPr>
          <w:spacing w:val="-14"/>
        </w:rPr>
        <w:t xml:space="preserve"> </w:t>
      </w:r>
      <w:r>
        <w:t>reporting</w:t>
      </w:r>
      <w:r>
        <w:rPr>
          <w:spacing w:val="-10"/>
        </w:rPr>
        <w:t xml:space="preserve"> </w:t>
      </w:r>
      <w:r>
        <w:t>or</w:t>
      </w:r>
      <w:r>
        <w:rPr>
          <w:spacing w:val="-11"/>
        </w:rPr>
        <w:t xml:space="preserve"> </w:t>
      </w:r>
      <w:r>
        <w:t>referring</w:t>
      </w:r>
      <w:r>
        <w:rPr>
          <w:spacing w:val="-10"/>
        </w:rPr>
        <w:t xml:space="preserve"> </w:t>
      </w:r>
      <w:r>
        <w:t>any</w:t>
      </w:r>
      <w:r>
        <w:rPr>
          <w:spacing w:val="-12"/>
        </w:rPr>
        <w:t xml:space="preserve"> </w:t>
      </w:r>
      <w:r>
        <w:t>such</w:t>
      </w:r>
      <w:r>
        <w:rPr>
          <w:spacing w:val="-13"/>
        </w:rPr>
        <w:t xml:space="preserve"> </w:t>
      </w:r>
      <w:r>
        <w:t>instances</w:t>
      </w:r>
      <w:r>
        <w:rPr>
          <w:spacing w:val="-11"/>
        </w:rPr>
        <w:t xml:space="preserve"> </w:t>
      </w:r>
      <w:r>
        <w:t>to</w:t>
      </w:r>
      <w:r>
        <w:rPr>
          <w:spacing w:val="-12"/>
        </w:rPr>
        <w:t xml:space="preserve"> </w:t>
      </w:r>
      <w:r>
        <w:t>the</w:t>
      </w:r>
      <w:r>
        <w:rPr>
          <w:spacing w:val="-12"/>
        </w:rPr>
        <w:t xml:space="preserve"> </w:t>
      </w:r>
      <w:r>
        <w:t>appropriate</w:t>
      </w:r>
      <w:r>
        <w:rPr>
          <w:spacing w:val="-12"/>
        </w:rPr>
        <w:t xml:space="preserve"> </w:t>
      </w:r>
      <w:r>
        <w:t>authority</w:t>
      </w:r>
      <w:r>
        <w:rPr>
          <w:spacing w:val="-14"/>
        </w:rPr>
        <w:t xml:space="preserve"> </w:t>
      </w:r>
      <w:r>
        <w:t>for</w:t>
      </w:r>
      <w:r>
        <w:rPr>
          <w:spacing w:val="-12"/>
        </w:rPr>
        <w:t xml:space="preserve"> </w:t>
      </w:r>
      <w:r>
        <w:t>investigation and possible prosecution. The MRC will seek to recover any losses incurred after considering all relevant</w:t>
      </w:r>
      <w:r>
        <w:rPr>
          <w:spacing w:val="1"/>
        </w:rPr>
        <w:t xml:space="preserve"> </w:t>
      </w:r>
      <w:r>
        <w:t>issues.</w:t>
      </w:r>
    </w:p>
    <w:p w14:paraId="58AB6B8F" w14:textId="77777777" w:rsidR="00665C3D" w:rsidRPr="00313805" w:rsidRDefault="00665C3D" w:rsidP="00665C3D">
      <w:pPr>
        <w:spacing w:after="0"/>
        <w:rPr>
          <w:rFonts w:ascii="Arial" w:hAnsi="Arial" w:cs="Arial"/>
          <w:sz w:val="26"/>
          <w:szCs w:val="26"/>
        </w:rPr>
      </w:pPr>
    </w:p>
    <w:p w14:paraId="3CCBDABE" w14:textId="1649FFFB" w:rsidR="00504E23" w:rsidRPr="00504E23" w:rsidRDefault="00504E23" w:rsidP="00504E23">
      <w:pPr>
        <w:spacing w:after="0"/>
        <w:rPr>
          <w:rFonts w:ascii="Arial" w:hAnsi="Arial" w:cs="Arial"/>
          <w:b/>
          <w:sz w:val="26"/>
          <w:szCs w:val="26"/>
        </w:rPr>
      </w:pPr>
      <w:r w:rsidRPr="00504E23">
        <w:rPr>
          <w:rFonts w:ascii="Arial" w:hAnsi="Arial" w:cs="Arial"/>
          <w:b/>
          <w:sz w:val="26"/>
          <w:szCs w:val="26"/>
        </w:rPr>
        <w:t>Policy Objective</w:t>
      </w:r>
    </w:p>
    <w:p w14:paraId="7C181291" w14:textId="68E03587" w:rsidR="00504E23" w:rsidRPr="00504E23" w:rsidRDefault="00504E23" w:rsidP="00504E23">
      <w:pPr>
        <w:spacing w:after="0"/>
        <w:rPr>
          <w:rFonts w:ascii="Arial" w:eastAsia="Arial" w:hAnsi="Arial" w:cs="Arial"/>
          <w:lang w:eastAsia="en-AU" w:bidi="en-AU"/>
        </w:rPr>
      </w:pPr>
      <w:r w:rsidRPr="00504E23">
        <w:rPr>
          <w:rFonts w:ascii="Arial" w:eastAsia="Arial" w:hAnsi="Arial" w:cs="Arial"/>
          <w:lang w:eastAsia="en-AU" w:bidi="en-AU"/>
        </w:rPr>
        <w:t xml:space="preserve">To articulate the </w:t>
      </w:r>
      <w:r>
        <w:rPr>
          <w:rFonts w:ascii="Arial" w:eastAsia="Arial" w:hAnsi="Arial" w:cs="Arial"/>
          <w:lang w:eastAsia="en-AU" w:bidi="en-AU"/>
        </w:rPr>
        <w:t xml:space="preserve">MRC’s </w:t>
      </w:r>
      <w:r w:rsidRPr="00504E23">
        <w:rPr>
          <w:rFonts w:ascii="Arial" w:eastAsia="Arial" w:hAnsi="Arial" w:cs="Arial"/>
          <w:lang w:eastAsia="en-AU" w:bidi="en-AU"/>
        </w:rPr>
        <w:t>commitment to a zero-tolerance approach to Fraud, Misconduct, Bribery and Corruption and to building resilience through the implementation of strategies to prevent, detect and respond to Fraud and Misconduct.</w:t>
      </w:r>
    </w:p>
    <w:p w14:paraId="71A922EA" w14:textId="77777777" w:rsidR="00665C3D" w:rsidRPr="00504E23" w:rsidRDefault="00665C3D" w:rsidP="00504E23">
      <w:pPr>
        <w:spacing w:after="0"/>
        <w:rPr>
          <w:rFonts w:ascii="Arial" w:hAnsi="Arial" w:cs="Arial"/>
          <w:b/>
          <w:sz w:val="26"/>
          <w:szCs w:val="26"/>
        </w:rPr>
      </w:pPr>
    </w:p>
    <w:p w14:paraId="1C7C0AD9" w14:textId="3DB6C7AB" w:rsidR="00504E23" w:rsidRDefault="00504E23" w:rsidP="00504E23">
      <w:pPr>
        <w:pStyle w:val="BodyText"/>
        <w:spacing w:before="4"/>
        <w:rPr>
          <w:b/>
          <w:sz w:val="24"/>
        </w:rPr>
      </w:pPr>
      <w:r>
        <w:rPr>
          <w:b/>
          <w:sz w:val="24"/>
        </w:rPr>
        <w:t>Scope</w:t>
      </w:r>
    </w:p>
    <w:p w14:paraId="5DB8E505" w14:textId="334C2A87" w:rsidR="00504E23" w:rsidRDefault="00504E23" w:rsidP="00504E23">
      <w:pPr>
        <w:pStyle w:val="BodyText"/>
        <w:ind w:right="236"/>
        <w:jc w:val="both"/>
      </w:pPr>
      <w:r>
        <w:t>The</w:t>
      </w:r>
      <w:r>
        <w:rPr>
          <w:spacing w:val="-15"/>
        </w:rPr>
        <w:t xml:space="preserve"> </w:t>
      </w:r>
      <w:r>
        <w:t>management</w:t>
      </w:r>
      <w:r>
        <w:rPr>
          <w:spacing w:val="-13"/>
        </w:rPr>
        <w:t xml:space="preserve"> </w:t>
      </w:r>
      <w:r>
        <w:t>of</w:t>
      </w:r>
      <w:r>
        <w:rPr>
          <w:spacing w:val="-12"/>
        </w:rPr>
        <w:t xml:space="preserve"> </w:t>
      </w:r>
      <w:r>
        <w:t>Fraud</w:t>
      </w:r>
      <w:r>
        <w:rPr>
          <w:spacing w:val="-12"/>
        </w:rPr>
        <w:t xml:space="preserve"> </w:t>
      </w:r>
      <w:r>
        <w:t>and</w:t>
      </w:r>
      <w:r>
        <w:rPr>
          <w:spacing w:val="-12"/>
        </w:rPr>
        <w:t xml:space="preserve"> </w:t>
      </w:r>
      <w:r>
        <w:t>Misconduct</w:t>
      </w:r>
      <w:r>
        <w:rPr>
          <w:spacing w:val="-11"/>
        </w:rPr>
        <w:t xml:space="preserve"> </w:t>
      </w:r>
      <w:r>
        <w:t>is</w:t>
      </w:r>
      <w:r>
        <w:rPr>
          <w:spacing w:val="-12"/>
        </w:rPr>
        <w:t xml:space="preserve"> </w:t>
      </w:r>
      <w:r>
        <w:t>a</w:t>
      </w:r>
      <w:r>
        <w:rPr>
          <w:spacing w:val="-15"/>
        </w:rPr>
        <w:t xml:space="preserve"> </w:t>
      </w:r>
      <w:r>
        <w:t>collective</w:t>
      </w:r>
      <w:r>
        <w:rPr>
          <w:spacing w:val="-12"/>
        </w:rPr>
        <w:t xml:space="preserve"> </w:t>
      </w:r>
      <w:r>
        <w:t>responsibility</w:t>
      </w:r>
      <w:r>
        <w:rPr>
          <w:spacing w:val="-14"/>
        </w:rPr>
        <w:t xml:space="preserve"> </w:t>
      </w:r>
      <w:r>
        <w:t>of</w:t>
      </w:r>
      <w:r>
        <w:rPr>
          <w:spacing w:val="-8"/>
        </w:rPr>
        <w:t xml:space="preserve"> </w:t>
      </w:r>
      <w:r>
        <w:t>all</w:t>
      </w:r>
      <w:r>
        <w:rPr>
          <w:spacing w:val="-15"/>
        </w:rPr>
        <w:t xml:space="preserve"> </w:t>
      </w:r>
      <w:r>
        <w:t>persons</w:t>
      </w:r>
      <w:r>
        <w:rPr>
          <w:spacing w:val="-14"/>
        </w:rPr>
        <w:t xml:space="preserve"> </w:t>
      </w:r>
      <w:r>
        <w:t>engaged or closely associated with the MRC in any capacity, which includes but is not limited to Council Members, Employees and</w:t>
      </w:r>
      <w:r>
        <w:rPr>
          <w:spacing w:val="2"/>
        </w:rPr>
        <w:t xml:space="preserve"> </w:t>
      </w:r>
      <w:r>
        <w:t>contractors.</w:t>
      </w:r>
    </w:p>
    <w:p w14:paraId="1936E7E1" w14:textId="77777777" w:rsidR="00504E23" w:rsidRDefault="00504E23" w:rsidP="00504E23">
      <w:pPr>
        <w:pStyle w:val="BodyText"/>
        <w:spacing w:before="10"/>
        <w:rPr>
          <w:sz w:val="21"/>
        </w:rPr>
      </w:pPr>
    </w:p>
    <w:p w14:paraId="00AD600D" w14:textId="531C9755" w:rsidR="00665C3D" w:rsidRPr="00504E23" w:rsidRDefault="00504E23" w:rsidP="00504E23">
      <w:pPr>
        <w:spacing w:after="0"/>
        <w:rPr>
          <w:rFonts w:ascii="Arial" w:hAnsi="Arial" w:cs="Arial"/>
          <w:b/>
          <w:sz w:val="26"/>
          <w:szCs w:val="26"/>
        </w:rPr>
      </w:pPr>
      <w:r>
        <w:rPr>
          <w:rFonts w:ascii="Arial" w:hAnsi="Arial" w:cs="Arial"/>
          <w:b/>
          <w:sz w:val="26"/>
          <w:szCs w:val="26"/>
        </w:rPr>
        <w:t>Policy Procedure</w:t>
      </w:r>
    </w:p>
    <w:p w14:paraId="27F5C484" w14:textId="2FFB21D5" w:rsidR="00504E23" w:rsidRPr="006D0300" w:rsidRDefault="00504E23" w:rsidP="00504E23">
      <w:pPr>
        <w:pStyle w:val="BodyText"/>
        <w:ind w:right="230"/>
        <w:jc w:val="both"/>
      </w:pPr>
      <w:r w:rsidRPr="006D0300">
        <w:t xml:space="preserve">The MRC has adopted a </w:t>
      </w:r>
      <w:r w:rsidR="006D0300" w:rsidRPr="006D0300">
        <w:t>Risk Managem</w:t>
      </w:r>
      <w:r w:rsidR="006D0300">
        <w:t xml:space="preserve">ent Plan and Appetite Statement (“the Risk Plan”) and all policies and procedure relating to the management of risk of fraud are </w:t>
      </w:r>
      <w:r w:rsidRPr="006D0300">
        <w:t>aligned with the Australian Standard AS8001:2008 Fraud and Corruption Control.</w:t>
      </w:r>
    </w:p>
    <w:p w14:paraId="1A80C3F6" w14:textId="77777777" w:rsidR="00504E23" w:rsidRDefault="00504E23" w:rsidP="00504E23">
      <w:pPr>
        <w:pStyle w:val="BodyText"/>
      </w:pPr>
    </w:p>
    <w:p w14:paraId="58EA7D32" w14:textId="1751924E" w:rsidR="00504E23" w:rsidRDefault="00504E23" w:rsidP="00504E23">
      <w:pPr>
        <w:pStyle w:val="BodyText"/>
        <w:ind w:right="232"/>
        <w:jc w:val="both"/>
      </w:pPr>
      <w:r>
        <w:t xml:space="preserve">This Policy along with the </w:t>
      </w:r>
      <w:r w:rsidR="006D0300">
        <w:t xml:space="preserve">MRC Code of Conduct for employees, the Local Government Model Code of Conduct for Elected Member, </w:t>
      </w:r>
      <w:r>
        <w:t xml:space="preserve">the </w:t>
      </w:r>
      <w:r w:rsidR="006D0300">
        <w:t>MRC’s</w:t>
      </w:r>
      <w:r>
        <w:t xml:space="preserve"> values, culture and its governance all</w:t>
      </w:r>
      <w:r>
        <w:rPr>
          <w:spacing w:val="-14"/>
        </w:rPr>
        <w:t xml:space="preserve"> </w:t>
      </w:r>
      <w:r>
        <w:t>operate</w:t>
      </w:r>
      <w:r>
        <w:rPr>
          <w:spacing w:val="-15"/>
        </w:rPr>
        <w:t xml:space="preserve"> </w:t>
      </w:r>
      <w:r>
        <w:t>in</w:t>
      </w:r>
      <w:r>
        <w:rPr>
          <w:spacing w:val="-14"/>
        </w:rPr>
        <w:t xml:space="preserve"> </w:t>
      </w:r>
      <w:r>
        <w:t>synergy</w:t>
      </w:r>
      <w:r>
        <w:rPr>
          <w:spacing w:val="-17"/>
        </w:rPr>
        <w:t xml:space="preserve"> </w:t>
      </w:r>
      <w:r>
        <w:t>to</w:t>
      </w:r>
      <w:r>
        <w:rPr>
          <w:spacing w:val="-15"/>
        </w:rPr>
        <w:t xml:space="preserve"> </w:t>
      </w:r>
      <w:r>
        <w:t>prevent,</w:t>
      </w:r>
      <w:r>
        <w:rPr>
          <w:spacing w:val="-12"/>
        </w:rPr>
        <w:t xml:space="preserve"> </w:t>
      </w:r>
      <w:r>
        <w:t>detect</w:t>
      </w:r>
      <w:r>
        <w:rPr>
          <w:spacing w:val="-13"/>
        </w:rPr>
        <w:t xml:space="preserve"> </w:t>
      </w:r>
      <w:r>
        <w:t>and</w:t>
      </w:r>
      <w:r>
        <w:rPr>
          <w:spacing w:val="-17"/>
        </w:rPr>
        <w:t xml:space="preserve"> </w:t>
      </w:r>
      <w:r>
        <w:t>respond</w:t>
      </w:r>
      <w:r>
        <w:rPr>
          <w:spacing w:val="-14"/>
        </w:rPr>
        <w:t xml:space="preserve"> </w:t>
      </w:r>
      <w:r>
        <w:t>to</w:t>
      </w:r>
      <w:r>
        <w:rPr>
          <w:spacing w:val="-15"/>
        </w:rPr>
        <w:t xml:space="preserve"> </w:t>
      </w:r>
      <w:r>
        <w:t>potential or actual Fraud and</w:t>
      </w:r>
      <w:r>
        <w:rPr>
          <w:spacing w:val="-3"/>
        </w:rPr>
        <w:t xml:space="preserve"> </w:t>
      </w:r>
      <w:r>
        <w:t>Misconduct.</w:t>
      </w:r>
    </w:p>
    <w:p w14:paraId="36D1D649" w14:textId="77777777" w:rsidR="00504E23" w:rsidRDefault="00504E23" w:rsidP="00504E23">
      <w:pPr>
        <w:pStyle w:val="BodyText"/>
        <w:spacing w:before="1"/>
        <w:rPr>
          <w:sz w:val="24"/>
        </w:rPr>
      </w:pPr>
    </w:p>
    <w:p w14:paraId="2B16704F" w14:textId="6E3FEF1F" w:rsidR="00504E23" w:rsidRDefault="00504E23" w:rsidP="00840493">
      <w:pPr>
        <w:pStyle w:val="BodyText"/>
        <w:ind w:right="231"/>
        <w:jc w:val="both"/>
      </w:pPr>
      <w:r>
        <w:t xml:space="preserve">The </w:t>
      </w:r>
      <w:r w:rsidR="006D0300">
        <w:t>Risk Plan</w:t>
      </w:r>
      <w:r>
        <w:t xml:space="preserve"> </w:t>
      </w:r>
      <w:r w:rsidR="006D0300">
        <w:t xml:space="preserve">and the related council policies and procedures </w:t>
      </w:r>
      <w:r>
        <w:t xml:space="preserve">establishes the strategies and processes by which the </w:t>
      </w:r>
      <w:r w:rsidR="006D0300">
        <w:t>MRC</w:t>
      </w:r>
      <w:r>
        <w:t xml:space="preserve"> will determine specific</w:t>
      </w:r>
      <w:r>
        <w:rPr>
          <w:spacing w:val="-8"/>
        </w:rPr>
        <w:t xml:space="preserve"> </w:t>
      </w:r>
      <w:r>
        <w:t>practices,</w:t>
      </w:r>
      <w:r>
        <w:rPr>
          <w:spacing w:val="-8"/>
        </w:rPr>
        <w:t xml:space="preserve"> </w:t>
      </w:r>
      <w:r>
        <w:t>plans</w:t>
      </w:r>
      <w:r>
        <w:rPr>
          <w:spacing w:val="-9"/>
        </w:rPr>
        <w:t xml:space="preserve"> </w:t>
      </w:r>
      <w:r>
        <w:t>and</w:t>
      </w:r>
      <w:r>
        <w:rPr>
          <w:spacing w:val="-7"/>
        </w:rPr>
        <w:t xml:space="preserve"> </w:t>
      </w:r>
      <w:r>
        <w:t>procedures</w:t>
      </w:r>
      <w:r>
        <w:rPr>
          <w:spacing w:val="-9"/>
        </w:rPr>
        <w:t xml:space="preserve"> </w:t>
      </w:r>
      <w:r>
        <w:t>to</w:t>
      </w:r>
      <w:r>
        <w:rPr>
          <w:spacing w:val="-9"/>
        </w:rPr>
        <w:t xml:space="preserve"> </w:t>
      </w:r>
      <w:r>
        <w:t>manage</w:t>
      </w:r>
      <w:r>
        <w:rPr>
          <w:spacing w:val="-10"/>
        </w:rPr>
        <w:t xml:space="preserve"> </w:t>
      </w:r>
      <w:r>
        <w:t>the</w:t>
      </w:r>
      <w:r>
        <w:rPr>
          <w:spacing w:val="-10"/>
        </w:rPr>
        <w:t xml:space="preserve"> </w:t>
      </w:r>
      <w:r>
        <w:t>prevention</w:t>
      </w:r>
      <w:r>
        <w:rPr>
          <w:spacing w:val="-7"/>
        </w:rPr>
        <w:t xml:space="preserve"> </w:t>
      </w:r>
      <w:r>
        <w:t>and</w:t>
      </w:r>
      <w:r>
        <w:rPr>
          <w:spacing w:val="-10"/>
        </w:rPr>
        <w:t xml:space="preserve"> </w:t>
      </w:r>
      <w:r>
        <w:t>detection</w:t>
      </w:r>
      <w:r>
        <w:rPr>
          <w:spacing w:val="-10"/>
        </w:rPr>
        <w:t xml:space="preserve"> </w:t>
      </w:r>
      <w:r>
        <w:t>of</w:t>
      </w:r>
      <w:r>
        <w:rPr>
          <w:spacing w:val="-8"/>
        </w:rPr>
        <w:t xml:space="preserve"> </w:t>
      </w:r>
      <w:r>
        <w:t>fraudulent activities, the related investigation and, where appropriate, referral of incidents to the appropriate</w:t>
      </w:r>
      <w:r>
        <w:rPr>
          <w:spacing w:val="-3"/>
        </w:rPr>
        <w:t xml:space="preserve"> </w:t>
      </w:r>
      <w:r>
        <w:t>authorities.</w:t>
      </w:r>
    </w:p>
    <w:p w14:paraId="25C56B5A" w14:textId="77777777" w:rsidR="00840493" w:rsidRDefault="00840493" w:rsidP="00E6602E">
      <w:pPr>
        <w:pStyle w:val="BodyText"/>
        <w:ind w:right="231"/>
        <w:jc w:val="both"/>
      </w:pPr>
    </w:p>
    <w:p w14:paraId="40FB56C1" w14:textId="18FFB3BC" w:rsidR="00840493" w:rsidRDefault="00840493" w:rsidP="00E6602E">
      <w:pPr>
        <w:pStyle w:val="BodyText"/>
      </w:pPr>
      <w:r>
        <w:rPr>
          <w:u w:val="single"/>
        </w:rPr>
        <w:t>Reporting Serious or Minor Misconduct</w:t>
      </w:r>
    </w:p>
    <w:p w14:paraId="6B36D063" w14:textId="391F18D4" w:rsidR="00840493" w:rsidRDefault="00840493" w:rsidP="00E6602E">
      <w:pPr>
        <w:pStyle w:val="BodyText"/>
        <w:ind w:right="233"/>
        <w:jc w:val="both"/>
      </w:pPr>
      <w:r>
        <w:t>A Public Officer or any other person may report to the Corruption and Crime Commission or the Public Sector Commission any matter which that person suspects on reasonable grounds concerns or may concern serious or minor misconduct respectively. Information on reporting to the appropriate authority is available on the MRC’s website.</w:t>
      </w:r>
    </w:p>
    <w:p w14:paraId="30E555E9" w14:textId="77777777" w:rsidR="00840493" w:rsidRDefault="00840493" w:rsidP="00E6602E">
      <w:pPr>
        <w:pStyle w:val="BodyText"/>
        <w:rPr>
          <w:sz w:val="21"/>
        </w:rPr>
      </w:pPr>
    </w:p>
    <w:p w14:paraId="691D8D81" w14:textId="77777777" w:rsidR="00840493" w:rsidRDefault="00840493" w:rsidP="00E6602E">
      <w:pPr>
        <w:pStyle w:val="BodyText"/>
        <w:jc w:val="both"/>
      </w:pPr>
      <w:r>
        <w:rPr>
          <w:u w:val="single"/>
        </w:rPr>
        <w:t>Public Interest Disclosure</w:t>
      </w:r>
    </w:p>
    <w:p w14:paraId="4CC7AA38" w14:textId="2660B03F" w:rsidR="00840493" w:rsidRDefault="00840493" w:rsidP="00E6602E">
      <w:pPr>
        <w:pStyle w:val="BodyText"/>
        <w:ind w:right="235"/>
        <w:jc w:val="both"/>
      </w:pPr>
      <w:r>
        <w:t>Any person may make an appropriate disclosure of public interest information to a proper authority which includes a local government. The legislation which governs such disclosures is the Public Interest Disclosure Act 2003 (PID Act).</w:t>
      </w:r>
    </w:p>
    <w:p w14:paraId="22DA1624" w14:textId="77777777" w:rsidR="00840493" w:rsidRDefault="00840493" w:rsidP="00E6602E">
      <w:pPr>
        <w:pStyle w:val="BodyText"/>
        <w:rPr>
          <w:sz w:val="21"/>
        </w:rPr>
      </w:pPr>
    </w:p>
    <w:p w14:paraId="239016DB" w14:textId="77777777" w:rsidR="00840493" w:rsidRDefault="00840493" w:rsidP="00E6602E">
      <w:pPr>
        <w:pStyle w:val="BodyText"/>
        <w:ind w:right="232"/>
        <w:jc w:val="both"/>
      </w:pPr>
      <w:r>
        <w:t>A</w:t>
      </w:r>
      <w:r>
        <w:rPr>
          <w:spacing w:val="-10"/>
        </w:rPr>
        <w:t xml:space="preserve"> </w:t>
      </w:r>
      <w:r>
        <w:t>disclosure</w:t>
      </w:r>
      <w:r>
        <w:rPr>
          <w:spacing w:val="-11"/>
        </w:rPr>
        <w:t xml:space="preserve"> </w:t>
      </w:r>
      <w:r>
        <w:t>can</w:t>
      </w:r>
      <w:r>
        <w:rPr>
          <w:spacing w:val="-9"/>
        </w:rPr>
        <w:t xml:space="preserve"> </w:t>
      </w:r>
      <w:r>
        <w:t>be</w:t>
      </w:r>
      <w:r>
        <w:rPr>
          <w:spacing w:val="-13"/>
        </w:rPr>
        <w:t xml:space="preserve"> </w:t>
      </w:r>
      <w:r>
        <w:t>made</w:t>
      </w:r>
      <w:r>
        <w:rPr>
          <w:spacing w:val="-9"/>
        </w:rPr>
        <w:t xml:space="preserve"> </w:t>
      </w:r>
      <w:r>
        <w:t>by</w:t>
      </w:r>
      <w:r>
        <w:rPr>
          <w:spacing w:val="-11"/>
        </w:rPr>
        <w:t xml:space="preserve"> </w:t>
      </w:r>
      <w:r>
        <w:t>anyone</w:t>
      </w:r>
      <w:r>
        <w:rPr>
          <w:spacing w:val="-9"/>
        </w:rPr>
        <w:t xml:space="preserve"> </w:t>
      </w:r>
      <w:r>
        <w:t>and</w:t>
      </w:r>
      <w:r>
        <w:rPr>
          <w:spacing w:val="-11"/>
        </w:rPr>
        <w:t xml:space="preserve"> </w:t>
      </w:r>
      <w:r>
        <w:t>may</w:t>
      </w:r>
      <w:r>
        <w:rPr>
          <w:spacing w:val="-11"/>
        </w:rPr>
        <w:t xml:space="preserve"> </w:t>
      </w:r>
      <w:r>
        <w:t>be</w:t>
      </w:r>
      <w:r>
        <w:rPr>
          <w:spacing w:val="-11"/>
        </w:rPr>
        <w:t xml:space="preserve"> </w:t>
      </w:r>
      <w:r>
        <w:t>made</w:t>
      </w:r>
      <w:r>
        <w:rPr>
          <w:spacing w:val="-9"/>
        </w:rPr>
        <w:t xml:space="preserve"> </w:t>
      </w:r>
      <w:r>
        <w:t>anonymously.</w:t>
      </w:r>
      <w:r>
        <w:rPr>
          <w:spacing w:val="-10"/>
        </w:rPr>
        <w:t xml:space="preserve"> </w:t>
      </w:r>
      <w:r>
        <w:t>If</w:t>
      </w:r>
      <w:r>
        <w:rPr>
          <w:spacing w:val="-8"/>
        </w:rPr>
        <w:t xml:space="preserve"> </w:t>
      </w:r>
      <w:r>
        <w:t>disclosures</w:t>
      </w:r>
      <w:r>
        <w:rPr>
          <w:spacing w:val="-8"/>
        </w:rPr>
        <w:t xml:space="preserve"> </w:t>
      </w:r>
      <w:r>
        <w:t>are</w:t>
      </w:r>
      <w:r>
        <w:rPr>
          <w:spacing w:val="-11"/>
        </w:rPr>
        <w:t xml:space="preserve"> </w:t>
      </w:r>
      <w:r>
        <w:t>made in</w:t>
      </w:r>
      <w:r>
        <w:rPr>
          <w:spacing w:val="-11"/>
        </w:rPr>
        <w:t xml:space="preserve"> </w:t>
      </w:r>
      <w:r>
        <w:t>accordance</w:t>
      </w:r>
      <w:r>
        <w:rPr>
          <w:spacing w:val="-14"/>
        </w:rPr>
        <w:t xml:space="preserve"> </w:t>
      </w:r>
      <w:r>
        <w:t>with</w:t>
      </w:r>
      <w:r>
        <w:rPr>
          <w:spacing w:val="-11"/>
        </w:rPr>
        <w:t xml:space="preserve"> </w:t>
      </w:r>
      <w:r>
        <w:t>the</w:t>
      </w:r>
      <w:r>
        <w:rPr>
          <w:spacing w:val="-14"/>
        </w:rPr>
        <w:t xml:space="preserve"> </w:t>
      </w:r>
      <w:r>
        <w:t>PID</w:t>
      </w:r>
      <w:r>
        <w:rPr>
          <w:spacing w:val="-11"/>
        </w:rPr>
        <w:t xml:space="preserve"> </w:t>
      </w:r>
      <w:r>
        <w:t>Act,</w:t>
      </w:r>
      <w:r>
        <w:rPr>
          <w:spacing w:val="-12"/>
        </w:rPr>
        <w:t xml:space="preserve"> </w:t>
      </w:r>
      <w:r>
        <w:t>the</w:t>
      </w:r>
      <w:r>
        <w:rPr>
          <w:spacing w:val="-11"/>
        </w:rPr>
        <w:t xml:space="preserve"> </w:t>
      </w:r>
      <w:r>
        <w:t>person</w:t>
      </w:r>
      <w:r>
        <w:rPr>
          <w:spacing w:val="-14"/>
        </w:rPr>
        <w:t xml:space="preserve"> </w:t>
      </w:r>
      <w:r>
        <w:t>making</w:t>
      </w:r>
      <w:r>
        <w:rPr>
          <w:spacing w:val="-11"/>
        </w:rPr>
        <w:t xml:space="preserve"> </w:t>
      </w:r>
      <w:r>
        <w:t>them</w:t>
      </w:r>
      <w:r>
        <w:rPr>
          <w:spacing w:val="-12"/>
        </w:rPr>
        <w:t xml:space="preserve"> </w:t>
      </w:r>
      <w:r>
        <w:t>is</w:t>
      </w:r>
      <w:r>
        <w:rPr>
          <w:spacing w:val="-11"/>
        </w:rPr>
        <w:t xml:space="preserve"> </w:t>
      </w:r>
      <w:r>
        <w:t>protected</w:t>
      </w:r>
      <w:r>
        <w:rPr>
          <w:spacing w:val="-14"/>
        </w:rPr>
        <w:t xml:space="preserve"> </w:t>
      </w:r>
      <w:r>
        <w:t>from</w:t>
      </w:r>
      <w:r>
        <w:rPr>
          <w:spacing w:val="-12"/>
        </w:rPr>
        <w:t xml:space="preserve"> </w:t>
      </w:r>
      <w:r>
        <w:t>reprisal.</w:t>
      </w:r>
      <w:r>
        <w:rPr>
          <w:spacing w:val="-12"/>
        </w:rPr>
        <w:t xml:space="preserve"> </w:t>
      </w:r>
      <w:r>
        <w:t>This</w:t>
      </w:r>
      <w:r>
        <w:rPr>
          <w:spacing w:val="-13"/>
        </w:rPr>
        <w:t xml:space="preserve"> </w:t>
      </w:r>
      <w:r>
        <w:t>means that the person enjoys immunity from civil or criminal liability and is protected from any disciplinary action or</w:t>
      </w:r>
      <w:r>
        <w:rPr>
          <w:spacing w:val="-1"/>
        </w:rPr>
        <w:t xml:space="preserve"> </w:t>
      </w:r>
      <w:r>
        <w:t>dismissal.</w:t>
      </w:r>
    </w:p>
    <w:p w14:paraId="69C996BD" w14:textId="77777777" w:rsidR="00840493" w:rsidRDefault="00840493" w:rsidP="00E6602E">
      <w:pPr>
        <w:pStyle w:val="BodyText"/>
        <w:rPr>
          <w:sz w:val="21"/>
        </w:rPr>
      </w:pPr>
    </w:p>
    <w:p w14:paraId="75A8BFED" w14:textId="0A7BD36A" w:rsidR="00840493" w:rsidRDefault="00840493" w:rsidP="00E6602E">
      <w:pPr>
        <w:pStyle w:val="BodyText"/>
        <w:ind w:right="234"/>
        <w:jc w:val="both"/>
      </w:pPr>
      <w:r>
        <w:lastRenderedPageBreak/>
        <w:t>The PID Act requires local governments to appoint a PID Officer to whom disclosures may be made. The PID Officer should be consulted when considering whether to make a disclosure. Information</w:t>
      </w:r>
      <w:r>
        <w:rPr>
          <w:spacing w:val="-12"/>
        </w:rPr>
        <w:t xml:space="preserve"> </w:t>
      </w:r>
      <w:r>
        <w:t>on</w:t>
      </w:r>
      <w:r>
        <w:rPr>
          <w:spacing w:val="-14"/>
        </w:rPr>
        <w:t xml:space="preserve"> </w:t>
      </w:r>
      <w:r>
        <w:t>public</w:t>
      </w:r>
      <w:r>
        <w:rPr>
          <w:spacing w:val="-12"/>
        </w:rPr>
        <w:t xml:space="preserve"> </w:t>
      </w:r>
      <w:r>
        <w:t>interest</w:t>
      </w:r>
      <w:r>
        <w:rPr>
          <w:spacing w:val="-13"/>
        </w:rPr>
        <w:t xml:space="preserve"> </w:t>
      </w:r>
      <w:r>
        <w:t>disclosures</w:t>
      </w:r>
      <w:r>
        <w:rPr>
          <w:spacing w:val="-13"/>
        </w:rPr>
        <w:t xml:space="preserve"> </w:t>
      </w:r>
      <w:r>
        <w:t>and</w:t>
      </w:r>
      <w:r>
        <w:rPr>
          <w:spacing w:val="-14"/>
        </w:rPr>
        <w:t xml:space="preserve"> </w:t>
      </w:r>
      <w:r>
        <w:t>the</w:t>
      </w:r>
      <w:r>
        <w:rPr>
          <w:spacing w:val="-17"/>
        </w:rPr>
        <w:t xml:space="preserve"> </w:t>
      </w:r>
      <w:r>
        <w:t>MRC’s</w:t>
      </w:r>
      <w:r>
        <w:rPr>
          <w:spacing w:val="-11"/>
        </w:rPr>
        <w:t xml:space="preserve"> </w:t>
      </w:r>
      <w:r>
        <w:t>PID</w:t>
      </w:r>
      <w:r>
        <w:rPr>
          <w:spacing w:val="-13"/>
        </w:rPr>
        <w:t xml:space="preserve"> </w:t>
      </w:r>
      <w:r>
        <w:t>Officer</w:t>
      </w:r>
      <w:r>
        <w:rPr>
          <w:spacing w:val="-13"/>
        </w:rPr>
        <w:t xml:space="preserve"> </w:t>
      </w:r>
      <w:r>
        <w:t>is available</w:t>
      </w:r>
      <w:r>
        <w:rPr>
          <w:spacing w:val="-11"/>
        </w:rPr>
        <w:t xml:space="preserve"> </w:t>
      </w:r>
      <w:r>
        <w:t>on</w:t>
      </w:r>
      <w:r>
        <w:rPr>
          <w:spacing w:val="-12"/>
        </w:rPr>
        <w:t xml:space="preserve"> </w:t>
      </w:r>
      <w:r>
        <w:t>the</w:t>
      </w:r>
      <w:r>
        <w:rPr>
          <w:spacing w:val="-12"/>
        </w:rPr>
        <w:t xml:space="preserve"> </w:t>
      </w:r>
      <w:r>
        <w:t>MRC’s website.</w:t>
      </w:r>
    </w:p>
    <w:p w14:paraId="65D7DD2F" w14:textId="77777777" w:rsidR="00840493" w:rsidRDefault="00840493" w:rsidP="00E6602E">
      <w:pPr>
        <w:pStyle w:val="BodyText"/>
      </w:pPr>
    </w:p>
    <w:p w14:paraId="254D381B" w14:textId="77777777" w:rsidR="00840493" w:rsidRDefault="00840493" w:rsidP="00E6602E">
      <w:pPr>
        <w:pStyle w:val="BodyText"/>
        <w:jc w:val="both"/>
      </w:pPr>
      <w:r>
        <w:rPr>
          <w:u w:val="single"/>
        </w:rPr>
        <w:t>Disciplinary and Recovery Action</w:t>
      </w:r>
    </w:p>
    <w:p w14:paraId="03519CBC" w14:textId="6DFBD663" w:rsidR="00840493" w:rsidRDefault="00840493" w:rsidP="00E6602E">
      <w:pPr>
        <w:pStyle w:val="BodyText"/>
        <w:ind w:right="232"/>
        <w:jc w:val="both"/>
      </w:pPr>
      <w:bookmarkStart w:id="0" w:name="The_City_will_respond_to_all_instances_o"/>
      <w:bookmarkEnd w:id="0"/>
      <w:r>
        <w:t>The MRC will respond to all instances of Fraud and Misconduct in accordance with its disciplinary process which may lead to termination. The MRC will also seek to recover any losses it may have suffered through Fraud and Misconduct.</w:t>
      </w:r>
    </w:p>
    <w:p w14:paraId="6CF68CBF" w14:textId="77777777" w:rsidR="00840493" w:rsidRDefault="00840493" w:rsidP="00E6602E">
      <w:pPr>
        <w:pStyle w:val="BodyText"/>
        <w:rPr>
          <w:sz w:val="21"/>
        </w:rPr>
      </w:pPr>
    </w:p>
    <w:p w14:paraId="49825AEC" w14:textId="77777777" w:rsidR="00840493" w:rsidRDefault="00840493" w:rsidP="00E6602E">
      <w:pPr>
        <w:pStyle w:val="Heading2"/>
        <w:ind w:left="0"/>
      </w:pPr>
      <w:bookmarkStart w:id="1" w:name="ROLES_AND_RESPONSIBILITIES:"/>
      <w:bookmarkEnd w:id="1"/>
      <w:r>
        <w:t>ROLES AND RESPONSIBILITIES:</w:t>
      </w:r>
    </w:p>
    <w:p w14:paraId="3EB53167" w14:textId="5D7AC365" w:rsidR="00840493" w:rsidRDefault="00840493" w:rsidP="00E6602E">
      <w:pPr>
        <w:pStyle w:val="BodyText"/>
        <w:ind w:right="232"/>
        <w:jc w:val="both"/>
      </w:pPr>
      <w:r>
        <w:t xml:space="preserve">The roles and responsibilities of the CEO, </w:t>
      </w:r>
      <w:r w:rsidR="00947124">
        <w:t>Executive Manager</w:t>
      </w:r>
      <w:r w:rsidR="002F5024">
        <w:t>s</w:t>
      </w:r>
      <w:r w:rsidR="00947124">
        <w:t xml:space="preserve">, </w:t>
      </w:r>
      <w:r w:rsidR="00E6602E">
        <w:t>Managers</w:t>
      </w:r>
      <w:r>
        <w:t xml:space="preserve">, </w:t>
      </w:r>
      <w:r w:rsidR="0077782C">
        <w:t>Council Members</w:t>
      </w:r>
      <w:r>
        <w:t>, and</w:t>
      </w:r>
      <w:r>
        <w:rPr>
          <w:spacing w:val="-7"/>
        </w:rPr>
        <w:t xml:space="preserve"> </w:t>
      </w:r>
      <w:r>
        <w:t>all</w:t>
      </w:r>
      <w:r>
        <w:rPr>
          <w:spacing w:val="-8"/>
        </w:rPr>
        <w:t xml:space="preserve"> </w:t>
      </w:r>
      <w:r>
        <w:t>Employees</w:t>
      </w:r>
      <w:r>
        <w:rPr>
          <w:spacing w:val="-5"/>
        </w:rPr>
        <w:t xml:space="preserve"> </w:t>
      </w:r>
      <w:r>
        <w:t>in</w:t>
      </w:r>
      <w:r>
        <w:rPr>
          <w:spacing w:val="-5"/>
        </w:rPr>
        <w:t xml:space="preserve"> </w:t>
      </w:r>
      <w:r>
        <w:t>respect</w:t>
      </w:r>
      <w:r>
        <w:rPr>
          <w:spacing w:val="-6"/>
        </w:rPr>
        <w:t xml:space="preserve"> </w:t>
      </w:r>
      <w:r>
        <w:t>of</w:t>
      </w:r>
      <w:r>
        <w:rPr>
          <w:spacing w:val="-6"/>
        </w:rPr>
        <w:t xml:space="preserve"> </w:t>
      </w:r>
      <w:r>
        <w:t>this</w:t>
      </w:r>
      <w:r>
        <w:rPr>
          <w:spacing w:val="-7"/>
        </w:rPr>
        <w:t xml:space="preserve"> </w:t>
      </w:r>
      <w:r>
        <w:t>Policy</w:t>
      </w:r>
      <w:r>
        <w:rPr>
          <w:spacing w:val="-7"/>
        </w:rPr>
        <w:t xml:space="preserve"> </w:t>
      </w:r>
      <w:r>
        <w:t>are</w:t>
      </w:r>
      <w:r>
        <w:rPr>
          <w:spacing w:val="-5"/>
        </w:rPr>
        <w:t xml:space="preserve"> </w:t>
      </w:r>
      <w:r>
        <w:t>articulated in detail in the</w:t>
      </w:r>
      <w:r>
        <w:rPr>
          <w:spacing w:val="-3"/>
        </w:rPr>
        <w:t xml:space="preserve"> </w:t>
      </w:r>
      <w:r w:rsidR="0077782C">
        <w:rPr>
          <w:spacing w:val="-3"/>
        </w:rPr>
        <w:t>Risk Plan.</w:t>
      </w:r>
    </w:p>
    <w:p w14:paraId="48350194" w14:textId="77777777" w:rsidR="00840493" w:rsidRDefault="00840493" w:rsidP="00E6602E">
      <w:pPr>
        <w:pStyle w:val="BodyText"/>
        <w:rPr>
          <w:sz w:val="21"/>
        </w:rPr>
      </w:pPr>
    </w:p>
    <w:p w14:paraId="348A5758" w14:textId="77777777" w:rsidR="00840493" w:rsidRDefault="00840493" w:rsidP="00E6602E">
      <w:pPr>
        <w:pStyle w:val="Heading2"/>
        <w:ind w:left="0"/>
      </w:pPr>
      <w:bookmarkStart w:id="2" w:name="DISPUTE_RESOLUTION:"/>
      <w:bookmarkEnd w:id="2"/>
      <w:r>
        <w:t>DISPUTE RESOLUTION:</w:t>
      </w:r>
    </w:p>
    <w:p w14:paraId="3A4596DF" w14:textId="77777777" w:rsidR="00840493" w:rsidRDefault="00840493" w:rsidP="00E6602E">
      <w:pPr>
        <w:pStyle w:val="BodyText"/>
        <w:rPr>
          <w:b/>
        </w:rPr>
      </w:pPr>
    </w:p>
    <w:p w14:paraId="1AB9C2EE" w14:textId="08CE966C" w:rsidR="00840493" w:rsidRDefault="00840493" w:rsidP="00E6602E">
      <w:pPr>
        <w:pStyle w:val="BodyText"/>
        <w:ind w:right="229"/>
        <w:jc w:val="both"/>
      </w:pPr>
      <w:r>
        <w:t xml:space="preserve">All disputes in respect of this Policy must be referred to the </w:t>
      </w:r>
      <w:r w:rsidR="0077782C">
        <w:t>CEO.</w:t>
      </w:r>
    </w:p>
    <w:p w14:paraId="6377D6BC" w14:textId="77777777" w:rsidR="00840493" w:rsidRDefault="00840493" w:rsidP="00E6602E">
      <w:pPr>
        <w:pStyle w:val="BodyText"/>
        <w:rPr>
          <w:sz w:val="21"/>
        </w:rPr>
      </w:pPr>
    </w:p>
    <w:p w14:paraId="0775E5EF" w14:textId="77777777" w:rsidR="00840493" w:rsidRDefault="00840493" w:rsidP="00E6602E">
      <w:pPr>
        <w:pStyle w:val="Heading2"/>
        <w:ind w:left="0"/>
      </w:pPr>
      <w:bookmarkStart w:id="3" w:name="EVALUATION_and_Review_Provisions"/>
      <w:bookmarkEnd w:id="3"/>
      <w:r>
        <w:t>EVALUATION AND REVIEW PROVISIONS</w:t>
      </w:r>
    </w:p>
    <w:p w14:paraId="5102AA0F" w14:textId="77777777" w:rsidR="00840493" w:rsidRDefault="00840493" w:rsidP="00E6602E">
      <w:pPr>
        <w:pStyle w:val="BodyText"/>
        <w:rPr>
          <w:b/>
        </w:rPr>
      </w:pPr>
    </w:p>
    <w:p w14:paraId="6E42F00A" w14:textId="6B7706AE" w:rsidR="00840493" w:rsidRDefault="00840493" w:rsidP="00E6602E">
      <w:pPr>
        <w:pStyle w:val="BodyText"/>
        <w:ind w:right="232"/>
        <w:jc w:val="both"/>
      </w:pPr>
      <w:r>
        <w:t>This</w:t>
      </w:r>
      <w:r>
        <w:rPr>
          <w:spacing w:val="-12"/>
        </w:rPr>
        <w:t xml:space="preserve"> </w:t>
      </w:r>
      <w:r>
        <w:t>Policy</w:t>
      </w:r>
      <w:r>
        <w:rPr>
          <w:spacing w:val="-14"/>
        </w:rPr>
        <w:t xml:space="preserve"> </w:t>
      </w:r>
      <w:r>
        <w:t>will</w:t>
      </w:r>
      <w:r>
        <w:rPr>
          <w:spacing w:val="-13"/>
        </w:rPr>
        <w:t xml:space="preserve"> </w:t>
      </w:r>
      <w:r>
        <w:t>be</w:t>
      </w:r>
      <w:r>
        <w:rPr>
          <w:spacing w:val="-12"/>
        </w:rPr>
        <w:t xml:space="preserve"> </w:t>
      </w:r>
      <w:r>
        <w:t>reviewed</w:t>
      </w:r>
      <w:r>
        <w:rPr>
          <w:spacing w:val="-12"/>
        </w:rPr>
        <w:t xml:space="preserve"> </w:t>
      </w:r>
      <w:r w:rsidR="0077782C">
        <w:t>annually</w:t>
      </w:r>
      <w:r>
        <w:t>,</w:t>
      </w:r>
      <w:r>
        <w:rPr>
          <w:spacing w:val="-13"/>
        </w:rPr>
        <w:t xml:space="preserve"> </w:t>
      </w:r>
      <w:r>
        <w:t>however</w:t>
      </w:r>
      <w:r>
        <w:rPr>
          <w:spacing w:val="-11"/>
        </w:rPr>
        <w:t xml:space="preserve"> </w:t>
      </w:r>
      <w:r>
        <w:t>the</w:t>
      </w:r>
      <w:r>
        <w:rPr>
          <w:spacing w:val="-12"/>
        </w:rPr>
        <w:t xml:space="preserve"> </w:t>
      </w:r>
      <w:r w:rsidR="0077782C">
        <w:t>Risk Plan</w:t>
      </w:r>
      <w:r>
        <w:rPr>
          <w:spacing w:val="-9"/>
        </w:rPr>
        <w:t xml:space="preserve"> </w:t>
      </w:r>
      <w:r>
        <w:t>is</w:t>
      </w:r>
      <w:r>
        <w:rPr>
          <w:spacing w:val="-14"/>
        </w:rPr>
        <w:t xml:space="preserve"> </w:t>
      </w:r>
      <w:r>
        <w:t>dynamic</w:t>
      </w:r>
      <w:r>
        <w:rPr>
          <w:spacing w:val="-11"/>
        </w:rPr>
        <w:t xml:space="preserve"> </w:t>
      </w:r>
      <w:r>
        <w:t>and will</w:t>
      </w:r>
      <w:r>
        <w:rPr>
          <w:spacing w:val="-4"/>
        </w:rPr>
        <w:t xml:space="preserve"> </w:t>
      </w:r>
      <w:r>
        <w:t>be</w:t>
      </w:r>
      <w:r>
        <w:rPr>
          <w:spacing w:val="-3"/>
        </w:rPr>
        <w:t xml:space="preserve"> </w:t>
      </w:r>
      <w:r>
        <w:t>reviewed</w:t>
      </w:r>
      <w:r>
        <w:rPr>
          <w:spacing w:val="-3"/>
        </w:rPr>
        <w:t xml:space="preserve"> </w:t>
      </w:r>
      <w:r>
        <w:t>as</w:t>
      </w:r>
      <w:r>
        <w:rPr>
          <w:spacing w:val="-4"/>
        </w:rPr>
        <w:t xml:space="preserve"> </w:t>
      </w:r>
      <w:r>
        <w:t>frequently</w:t>
      </w:r>
      <w:r>
        <w:rPr>
          <w:spacing w:val="-4"/>
        </w:rPr>
        <w:t xml:space="preserve"> </w:t>
      </w:r>
      <w:r>
        <w:t>as</w:t>
      </w:r>
      <w:r>
        <w:rPr>
          <w:spacing w:val="-5"/>
        </w:rPr>
        <w:t xml:space="preserve"> </w:t>
      </w:r>
      <w:r>
        <w:t>required</w:t>
      </w:r>
      <w:r>
        <w:rPr>
          <w:spacing w:val="-7"/>
        </w:rPr>
        <w:t xml:space="preserve"> </w:t>
      </w:r>
      <w:r>
        <w:t>to</w:t>
      </w:r>
      <w:r>
        <w:rPr>
          <w:spacing w:val="-5"/>
        </w:rPr>
        <w:t xml:space="preserve"> </w:t>
      </w:r>
      <w:r>
        <w:t>ensure</w:t>
      </w:r>
      <w:r>
        <w:rPr>
          <w:spacing w:val="-3"/>
        </w:rPr>
        <w:t xml:space="preserve"> </w:t>
      </w:r>
      <w:r>
        <w:t>it</w:t>
      </w:r>
      <w:r>
        <w:rPr>
          <w:spacing w:val="-3"/>
        </w:rPr>
        <w:t xml:space="preserve"> </w:t>
      </w:r>
      <w:r>
        <w:t>is</w:t>
      </w:r>
      <w:r>
        <w:rPr>
          <w:spacing w:val="-2"/>
        </w:rPr>
        <w:t xml:space="preserve"> </w:t>
      </w:r>
      <w:r>
        <w:t>implemented</w:t>
      </w:r>
      <w:r>
        <w:rPr>
          <w:spacing w:val="-5"/>
        </w:rPr>
        <w:t xml:space="preserve"> </w:t>
      </w:r>
      <w:r>
        <w:t>appropriately</w:t>
      </w:r>
      <w:r>
        <w:rPr>
          <w:spacing w:val="-5"/>
        </w:rPr>
        <w:t xml:space="preserve"> </w:t>
      </w:r>
      <w:r>
        <w:t>and</w:t>
      </w:r>
      <w:r>
        <w:rPr>
          <w:spacing w:val="-5"/>
        </w:rPr>
        <w:t xml:space="preserve"> </w:t>
      </w:r>
      <w:r>
        <w:t>that</w:t>
      </w:r>
      <w:r>
        <w:rPr>
          <w:spacing w:val="-1"/>
        </w:rPr>
        <w:t xml:space="preserve"> </w:t>
      </w:r>
      <w:r>
        <w:t>it remains relevant to address the identified</w:t>
      </w:r>
      <w:r>
        <w:rPr>
          <w:spacing w:val="-6"/>
        </w:rPr>
        <w:t xml:space="preserve"> </w:t>
      </w:r>
      <w:r>
        <w:t>risks.</w:t>
      </w:r>
    </w:p>
    <w:p w14:paraId="4278B64E" w14:textId="77777777" w:rsidR="00665C3D" w:rsidRPr="00AD6402" w:rsidRDefault="00665C3D" w:rsidP="00E6602E">
      <w:pPr>
        <w:spacing w:after="0" w:line="240" w:lineRule="auto"/>
        <w:rPr>
          <w:rFonts w:ascii="Arial" w:hAnsi="Arial" w:cs="Arial"/>
          <w:b/>
        </w:rPr>
      </w:pPr>
    </w:p>
    <w:p w14:paraId="4B93C82A" w14:textId="77777777" w:rsidR="00034DEA" w:rsidRDefault="00034DEA" w:rsidP="00034DEA">
      <w:pPr>
        <w:pStyle w:val="Heading2"/>
        <w:spacing w:before="93"/>
      </w:pPr>
      <w:r>
        <w:t>DEFINITIONS</w:t>
      </w:r>
    </w:p>
    <w:p w14:paraId="7F72C646" w14:textId="77777777" w:rsidR="00034DEA" w:rsidRDefault="00034DEA" w:rsidP="00034DEA">
      <w:pPr>
        <w:pStyle w:val="BodyText"/>
        <w:spacing w:before="3"/>
        <w:rPr>
          <w:b/>
        </w:rPr>
      </w:pPr>
    </w:p>
    <w:p w14:paraId="712D7585" w14:textId="77777777" w:rsidR="00034DEA" w:rsidRDefault="00034DEA" w:rsidP="00034DEA">
      <w:pPr>
        <w:pStyle w:val="BodyText"/>
        <w:ind w:left="138"/>
      </w:pPr>
      <w:r>
        <w:t>Any definitions listed in the following table apply to this Policy only.</w:t>
      </w:r>
    </w:p>
    <w:p w14:paraId="78026686" w14:textId="77777777" w:rsidR="00034DEA" w:rsidRDefault="00034DEA" w:rsidP="00034DEA">
      <w:pPr>
        <w:pStyle w:val="BodyText"/>
        <w:spacing w:before="8"/>
        <w:rPr>
          <w:sz w:val="24"/>
        </w:rPr>
      </w:pPr>
    </w:p>
    <w:tbl>
      <w:tblPr>
        <w:tblW w:w="0" w:type="auto"/>
        <w:tblInd w:w="19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firstRow="1" w:lastRow="1" w:firstColumn="1" w:lastColumn="1" w:noHBand="0" w:noVBand="0"/>
      </w:tblPr>
      <w:tblGrid>
        <w:gridCol w:w="2828"/>
        <w:gridCol w:w="6178"/>
      </w:tblGrid>
      <w:tr w:rsidR="00034DEA" w14:paraId="1E7C02A1" w14:textId="77777777" w:rsidTr="00EC4363">
        <w:trPr>
          <w:trHeight w:val="397"/>
        </w:trPr>
        <w:tc>
          <w:tcPr>
            <w:tcW w:w="2828" w:type="dxa"/>
            <w:tcBorders>
              <w:left w:val="double" w:sz="2" w:space="0" w:color="EFEFEF"/>
            </w:tcBorders>
            <w:shd w:val="clear" w:color="auto" w:fill="D9D9D9"/>
          </w:tcPr>
          <w:p w14:paraId="0F242296" w14:textId="77777777" w:rsidR="00034DEA" w:rsidRDefault="00034DEA" w:rsidP="00EC4363">
            <w:pPr>
              <w:pStyle w:val="TableParagraph"/>
              <w:spacing w:before="67"/>
              <w:ind w:left="123"/>
              <w:rPr>
                <w:b/>
              </w:rPr>
            </w:pPr>
            <w:r>
              <w:rPr>
                <w:b/>
              </w:rPr>
              <w:t>Term</w:t>
            </w:r>
          </w:p>
        </w:tc>
        <w:tc>
          <w:tcPr>
            <w:tcW w:w="6178" w:type="dxa"/>
            <w:shd w:val="clear" w:color="auto" w:fill="D9D9D9"/>
          </w:tcPr>
          <w:p w14:paraId="784F8A5D" w14:textId="77777777" w:rsidR="00034DEA" w:rsidRDefault="00034DEA" w:rsidP="00EC4363">
            <w:pPr>
              <w:pStyle w:val="TableParagraph"/>
              <w:spacing w:before="67"/>
              <w:rPr>
                <w:b/>
              </w:rPr>
            </w:pPr>
            <w:r>
              <w:rPr>
                <w:b/>
              </w:rPr>
              <w:t>Definition</w:t>
            </w:r>
          </w:p>
        </w:tc>
      </w:tr>
      <w:tr w:rsidR="00034DEA" w14:paraId="449ED7C1" w14:textId="77777777" w:rsidTr="00EC4363">
        <w:trPr>
          <w:trHeight w:val="833"/>
        </w:trPr>
        <w:tc>
          <w:tcPr>
            <w:tcW w:w="2828" w:type="dxa"/>
            <w:tcBorders>
              <w:left w:val="double" w:sz="2" w:space="0" w:color="EFEFEF"/>
            </w:tcBorders>
          </w:tcPr>
          <w:p w14:paraId="167DA33F" w14:textId="77777777" w:rsidR="00034DEA" w:rsidRDefault="00034DEA" w:rsidP="00EC4363">
            <w:pPr>
              <w:pStyle w:val="TableParagraph"/>
              <w:spacing w:before="68"/>
              <w:ind w:left="123"/>
              <w:rPr>
                <w:b/>
                <w:sz w:val="20"/>
              </w:rPr>
            </w:pPr>
            <w:r>
              <w:rPr>
                <w:b/>
                <w:sz w:val="20"/>
              </w:rPr>
              <w:t>Bribe</w:t>
            </w:r>
          </w:p>
        </w:tc>
        <w:tc>
          <w:tcPr>
            <w:tcW w:w="6178" w:type="dxa"/>
          </w:tcPr>
          <w:p w14:paraId="6CEC69AC" w14:textId="77777777" w:rsidR="00034DEA" w:rsidRDefault="00034DEA" w:rsidP="00EC4363">
            <w:pPr>
              <w:pStyle w:val="TableParagraph"/>
              <w:spacing w:before="70"/>
              <w:ind w:right="108"/>
              <w:jc w:val="both"/>
              <w:rPr>
                <w:sz w:val="20"/>
              </w:rPr>
            </w:pPr>
            <w:r>
              <w:rPr>
                <w:sz w:val="20"/>
              </w:rPr>
              <w:t>The</w:t>
            </w:r>
            <w:r>
              <w:rPr>
                <w:spacing w:val="-11"/>
                <w:sz w:val="20"/>
              </w:rPr>
              <w:t xml:space="preserve"> </w:t>
            </w:r>
            <w:r>
              <w:rPr>
                <w:sz w:val="20"/>
              </w:rPr>
              <w:t>offering,</w:t>
            </w:r>
            <w:r>
              <w:rPr>
                <w:spacing w:val="-11"/>
                <w:sz w:val="20"/>
              </w:rPr>
              <w:t xml:space="preserve"> </w:t>
            </w:r>
            <w:r>
              <w:rPr>
                <w:sz w:val="20"/>
              </w:rPr>
              <w:t>giving,</w:t>
            </w:r>
            <w:r>
              <w:rPr>
                <w:spacing w:val="-11"/>
                <w:sz w:val="20"/>
              </w:rPr>
              <w:t xml:space="preserve"> </w:t>
            </w:r>
            <w:r>
              <w:rPr>
                <w:sz w:val="20"/>
              </w:rPr>
              <w:t>receiving,</w:t>
            </w:r>
            <w:r>
              <w:rPr>
                <w:spacing w:val="-10"/>
                <w:sz w:val="20"/>
              </w:rPr>
              <w:t xml:space="preserve"> </w:t>
            </w:r>
            <w:r>
              <w:rPr>
                <w:sz w:val="20"/>
              </w:rPr>
              <w:t>or</w:t>
            </w:r>
            <w:r>
              <w:rPr>
                <w:spacing w:val="-10"/>
                <w:sz w:val="20"/>
              </w:rPr>
              <w:t xml:space="preserve"> </w:t>
            </w:r>
            <w:r>
              <w:rPr>
                <w:sz w:val="20"/>
              </w:rPr>
              <w:t>soliciting</w:t>
            </w:r>
            <w:r>
              <w:rPr>
                <w:spacing w:val="-12"/>
                <w:sz w:val="20"/>
              </w:rPr>
              <w:t xml:space="preserve"> </w:t>
            </w:r>
            <w:r>
              <w:rPr>
                <w:sz w:val="20"/>
              </w:rPr>
              <w:t>of</w:t>
            </w:r>
            <w:r>
              <w:rPr>
                <w:spacing w:val="-9"/>
                <w:sz w:val="20"/>
              </w:rPr>
              <w:t xml:space="preserve"> </w:t>
            </w:r>
            <w:r>
              <w:rPr>
                <w:sz w:val="20"/>
              </w:rPr>
              <w:t>something</w:t>
            </w:r>
            <w:r>
              <w:rPr>
                <w:spacing w:val="-12"/>
                <w:sz w:val="20"/>
              </w:rPr>
              <w:t xml:space="preserve"> </w:t>
            </w:r>
            <w:r>
              <w:rPr>
                <w:sz w:val="20"/>
              </w:rPr>
              <w:t>of</w:t>
            </w:r>
            <w:r>
              <w:rPr>
                <w:spacing w:val="-8"/>
                <w:sz w:val="20"/>
              </w:rPr>
              <w:t xml:space="preserve"> </w:t>
            </w:r>
            <w:r>
              <w:rPr>
                <w:sz w:val="20"/>
              </w:rPr>
              <w:t>value</w:t>
            </w:r>
            <w:r>
              <w:rPr>
                <w:spacing w:val="-12"/>
                <w:sz w:val="20"/>
              </w:rPr>
              <w:t xml:space="preserve"> </w:t>
            </w:r>
            <w:r>
              <w:rPr>
                <w:sz w:val="20"/>
              </w:rPr>
              <w:t>for the purpose of influencing the action of an official in the discharge of his or her public or legal</w:t>
            </w:r>
            <w:r>
              <w:rPr>
                <w:spacing w:val="5"/>
                <w:sz w:val="20"/>
              </w:rPr>
              <w:t xml:space="preserve"> </w:t>
            </w:r>
            <w:r>
              <w:rPr>
                <w:sz w:val="20"/>
              </w:rPr>
              <w:t>duties</w:t>
            </w:r>
          </w:p>
        </w:tc>
      </w:tr>
      <w:tr w:rsidR="00034DEA" w14:paraId="587469FE" w14:textId="77777777" w:rsidTr="00EC4363">
        <w:trPr>
          <w:trHeight w:val="375"/>
        </w:trPr>
        <w:tc>
          <w:tcPr>
            <w:tcW w:w="2828" w:type="dxa"/>
            <w:tcBorders>
              <w:left w:val="double" w:sz="2" w:space="0" w:color="EFEFEF"/>
            </w:tcBorders>
          </w:tcPr>
          <w:p w14:paraId="1CC7F316" w14:textId="77777777" w:rsidR="00034DEA" w:rsidRDefault="00034DEA" w:rsidP="00EC4363">
            <w:pPr>
              <w:pStyle w:val="TableParagraph"/>
              <w:spacing w:before="70"/>
              <w:ind w:left="123"/>
              <w:rPr>
                <w:b/>
                <w:sz w:val="20"/>
              </w:rPr>
            </w:pPr>
            <w:r>
              <w:rPr>
                <w:b/>
                <w:sz w:val="20"/>
              </w:rPr>
              <w:t>CEO</w:t>
            </w:r>
          </w:p>
        </w:tc>
        <w:tc>
          <w:tcPr>
            <w:tcW w:w="6178" w:type="dxa"/>
          </w:tcPr>
          <w:p w14:paraId="3DC56304" w14:textId="77777777" w:rsidR="00034DEA" w:rsidRDefault="00034DEA" w:rsidP="00EC4363">
            <w:pPr>
              <w:pStyle w:val="TableParagraph"/>
              <w:spacing w:before="73"/>
              <w:rPr>
                <w:sz w:val="20"/>
              </w:rPr>
            </w:pPr>
            <w:r>
              <w:rPr>
                <w:sz w:val="20"/>
              </w:rPr>
              <w:t>Chief Executive Officer</w:t>
            </w:r>
          </w:p>
        </w:tc>
      </w:tr>
      <w:tr w:rsidR="00034DEA" w14:paraId="161DA642" w14:textId="77777777" w:rsidTr="00EC4363">
        <w:trPr>
          <w:trHeight w:val="835"/>
        </w:trPr>
        <w:tc>
          <w:tcPr>
            <w:tcW w:w="2828" w:type="dxa"/>
            <w:tcBorders>
              <w:left w:val="double" w:sz="2" w:space="0" w:color="EFEFEF"/>
            </w:tcBorders>
          </w:tcPr>
          <w:p w14:paraId="05131170" w14:textId="77777777" w:rsidR="00034DEA" w:rsidRDefault="00034DEA" w:rsidP="00EC4363">
            <w:pPr>
              <w:pStyle w:val="TableParagraph"/>
              <w:spacing w:before="70"/>
              <w:ind w:left="123"/>
              <w:rPr>
                <w:b/>
                <w:sz w:val="20"/>
              </w:rPr>
            </w:pPr>
            <w:r>
              <w:rPr>
                <w:b/>
                <w:sz w:val="20"/>
              </w:rPr>
              <w:t>Code of Conduct</w:t>
            </w:r>
          </w:p>
        </w:tc>
        <w:tc>
          <w:tcPr>
            <w:tcW w:w="6178" w:type="dxa"/>
          </w:tcPr>
          <w:p w14:paraId="4790B933" w14:textId="77777777" w:rsidR="00034DEA" w:rsidRDefault="00034DEA" w:rsidP="00EC4363">
            <w:pPr>
              <w:pStyle w:val="TableParagraph"/>
              <w:spacing w:before="73"/>
              <w:ind w:right="105"/>
              <w:jc w:val="both"/>
              <w:rPr>
                <w:sz w:val="20"/>
              </w:rPr>
            </w:pPr>
            <w:r>
              <w:rPr>
                <w:sz w:val="20"/>
              </w:rPr>
              <w:t>The documented code that sets out the principles, values, ethical standards,</w:t>
            </w:r>
            <w:r>
              <w:rPr>
                <w:spacing w:val="-12"/>
                <w:sz w:val="20"/>
              </w:rPr>
              <w:t xml:space="preserve"> </w:t>
            </w:r>
            <w:r>
              <w:rPr>
                <w:sz w:val="20"/>
              </w:rPr>
              <w:t>appropriate</w:t>
            </w:r>
            <w:r>
              <w:rPr>
                <w:spacing w:val="-12"/>
                <w:sz w:val="20"/>
              </w:rPr>
              <w:t xml:space="preserve"> </w:t>
            </w:r>
            <w:r>
              <w:rPr>
                <w:sz w:val="20"/>
              </w:rPr>
              <w:t>behaviour</w:t>
            </w:r>
            <w:r>
              <w:rPr>
                <w:spacing w:val="-11"/>
                <w:sz w:val="20"/>
              </w:rPr>
              <w:t xml:space="preserve"> </w:t>
            </w:r>
            <w:r>
              <w:rPr>
                <w:sz w:val="20"/>
              </w:rPr>
              <w:t>and</w:t>
            </w:r>
            <w:r>
              <w:rPr>
                <w:spacing w:val="-12"/>
                <w:sz w:val="20"/>
              </w:rPr>
              <w:t xml:space="preserve"> </w:t>
            </w:r>
            <w:r>
              <w:rPr>
                <w:sz w:val="20"/>
              </w:rPr>
              <w:t>accountability</w:t>
            </w:r>
            <w:r>
              <w:rPr>
                <w:spacing w:val="-17"/>
                <w:sz w:val="20"/>
              </w:rPr>
              <w:t xml:space="preserve"> </w:t>
            </w:r>
            <w:r>
              <w:rPr>
                <w:sz w:val="20"/>
              </w:rPr>
              <w:t>that</w:t>
            </w:r>
            <w:r>
              <w:rPr>
                <w:spacing w:val="-15"/>
                <w:sz w:val="20"/>
              </w:rPr>
              <w:t xml:space="preserve"> </w:t>
            </w:r>
            <w:r>
              <w:rPr>
                <w:sz w:val="20"/>
              </w:rPr>
              <w:t>guides</w:t>
            </w:r>
            <w:r>
              <w:rPr>
                <w:spacing w:val="-13"/>
                <w:sz w:val="20"/>
              </w:rPr>
              <w:t xml:space="preserve"> </w:t>
            </w:r>
            <w:r>
              <w:rPr>
                <w:sz w:val="20"/>
              </w:rPr>
              <w:t>the conduct and decisions of all</w:t>
            </w:r>
            <w:r>
              <w:rPr>
                <w:spacing w:val="-3"/>
                <w:sz w:val="20"/>
              </w:rPr>
              <w:t xml:space="preserve"> </w:t>
            </w:r>
            <w:r>
              <w:rPr>
                <w:sz w:val="20"/>
              </w:rPr>
              <w:t>Employees</w:t>
            </w:r>
          </w:p>
        </w:tc>
      </w:tr>
      <w:tr w:rsidR="00034DEA" w14:paraId="763258F3" w14:textId="77777777" w:rsidTr="00EC4363">
        <w:trPr>
          <w:trHeight w:val="1985"/>
        </w:trPr>
        <w:tc>
          <w:tcPr>
            <w:tcW w:w="2828" w:type="dxa"/>
            <w:tcBorders>
              <w:left w:val="double" w:sz="2" w:space="0" w:color="EFEFEF"/>
            </w:tcBorders>
          </w:tcPr>
          <w:p w14:paraId="0A7FE575" w14:textId="77777777" w:rsidR="00034DEA" w:rsidRDefault="00034DEA" w:rsidP="00EC4363">
            <w:pPr>
              <w:pStyle w:val="TableParagraph"/>
              <w:spacing w:before="30"/>
              <w:ind w:left="123"/>
              <w:rPr>
                <w:b/>
                <w:sz w:val="20"/>
              </w:rPr>
            </w:pPr>
            <w:r>
              <w:rPr>
                <w:b/>
                <w:sz w:val="20"/>
              </w:rPr>
              <w:t>Corruption</w:t>
            </w:r>
          </w:p>
        </w:tc>
        <w:tc>
          <w:tcPr>
            <w:tcW w:w="6178" w:type="dxa"/>
          </w:tcPr>
          <w:p w14:paraId="679264CF" w14:textId="77777777" w:rsidR="00034DEA" w:rsidRDefault="00034DEA" w:rsidP="00EC4363">
            <w:pPr>
              <w:pStyle w:val="TableParagraph"/>
              <w:spacing w:before="73"/>
              <w:ind w:right="107"/>
              <w:jc w:val="both"/>
              <w:rPr>
                <w:sz w:val="20"/>
              </w:rPr>
            </w:pPr>
            <w:r>
              <w:rPr>
                <w:sz w:val="20"/>
              </w:rPr>
              <w:t>Dishonest activity in which a director, executive, manager, employee,</w:t>
            </w:r>
            <w:r>
              <w:rPr>
                <w:spacing w:val="-6"/>
                <w:sz w:val="20"/>
              </w:rPr>
              <w:t xml:space="preserve"> </w:t>
            </w:r>
            <w:r>
              <w:rPr>
                <w:sz w:val="20"/>
              </w:rPr>
              <w:t>or</w:t>
            </w:r>
            <w:r>
              <w:rPr>
                <w:spacing w:val="-4"/>
                <w:sz w:val="20"/>
              </w:rPr>
              <w:t xml:space="preserve"> </w:t>
            </w:r>
            <w:r>
              <w:rPr>
                <w:sz w:val="20"/>
              </w:rPr>
              <w:t>contractor</w:t>
            </w:r>
            <w:r>
              <w:rPr>
                <w:spacing w:val="-4"/>
                <w:sz w:val="20"/>
              </w:rPr>
              <w:t xml:space="preserve"> </w:t>
            </w:r>
            <w:r>
              <w:rPr>
                <w:sz w:val="20"/>
              </w:rPr>
              <w:t>of</w:t>
            </w:r>
            <w:r>
              <w:rPr>
                <w:spacing w:val="-3"/>
                <w:sz w:val="20"/>
              </w:rPr>
              <w:t xml:space="preserve"> </w:t>
            </w:r>
            <w:r>
              <w:rPr>
                <w:sz w:val="20"/>
              </w:rPr>
              <w:t>an</w:t>
            </w:r>
            <w:r>
              <w:rPr>
                <w:spacing w:val="-6"/>
                <w:sz w:val="20"/>
              </w:rPr>
              <w:t xml:space="preserve"> </w:t>
            </w:r>
            <w:r>
              <w:rPr>
                <w:sz w:val="20"/>
              </w:rPr>
              <w:t>entity</w:t>
            </w:r>
            <w:r>
              <w:rPr>
                <w:spacing w:val="-9"/>
                <w:sz w:val="20"/>
              </w:rPr>
              <w:t xml:space="preserve"> </w:t>
            </w:r>
            <w:r>
              <w:rPr>
                <w:sz w:val="20"/>
              </w:rPr>
              <w:t>acts</w:t>
            </w:r>
            <w:r>
              <w:rPr>
                <w:spacing w:val="-4"/>
                <w:sz w:val="20"/>
              </w:rPr>
              <w:t xml:space="preserve"> </w:t>
            </w:r>
            <w:r>
              <w:rPr>
                <w:sz w:val="20"/>
              </w:rPr>
              <w:t>contrary</w:t>
            </w:r>
            <w:r>
              <w:rPr>
                <w:spacing w:val="-9"/>
                <w:sz w:val="20"/>
              </w:rPr>
              <w:t xml:space="preserve"> </w:t>
            </w:r>
            <w:r>
              <w:rPr>
                <w:sz w:val="20"/>
              </w:rPr>
              <w:t>to</w:t>
            </w:r>
            <w:r>
              <w:rPr>
                <w:spacing w:val="-6"/>
                <w:sz w:val="20"/>
              </w:rPr>
              <w:t xml:space="preserve"> </w:t>
            </w:r>
            <w:r>
              <w:rPr>
                <w:sz w:val="20"/>
              </w:rPr>
              <w:t>the</w:t>
            </w:r>
            <w:r>
              <w:rPr>
                <w:spacing w:val="-6"/>
                <w:sz w:val="20"/>
              </w:rPr>
              <w:t xml:space="preserve"> </w:t>
            </w:r>
            <w:r>
              <w:rPr>
                <w:sz w:val="20"/>
              </w:rPr>
              <w:t>interests</w:t>
            </w:r>
            <w:r>
              <w:rPr>
                <w:spacing w:val="-4"/>
                <w:sz w:val="20"/>
              </w:rPr>
              <w:t xml:space="preserve"> </w:t>
            </w:r>
            <w:r>
              <w:rPr>
                <w:sz w:val="20"/>
              </w:rPr>
              <w:t>of the entity and abuses his/her position of trust in order to achieve some personal gain or advantage for him or herself or for another person or entity. The concept of "corruption" [within this standard] can also involve corrupt conduct by the entity, or a person purporting to act on behalf of and in the interests of the entity, in order to secure some form of improper advantage for the</w:t>
            </w:r>
            <w:r>
              <w:rPr>
                <w:spacing w:val="-18"/>
                <w:sz w:val="20"/>
              </w:rPr>
              <w:t xml:space="preserve"> </w:t>
            </w:r>
            <w:r>
              <w:rPr>
                <w:sz w:val="20"/>
              </w:rPr>
              <w:t>entity</w:t>
            </w:r>
          </w:p>
        </w:tc>
      </w:tr>
      <w:tr w:rsidR="00034DEA" w14:paraId="6B1C9165" w14:textId="77777777" w:rsidTr="00EC4363">
        <w:trPr>
          <w:trHeight w:val="835"/>
        </w:trPr>
        <w:tc>
          <w:tcPr>
            <w:tcW w:w="2828" w:type="dxa"/>
            <w:tcBorders>
              <w:left w:val="double" w:sz="2" w:space="0" w:color="EFEFEF"/>
            </w:tcBorders>
          </w:tcPr>
          <w:p w14:paraId="048B56DF" w14:textId="77777777" w:rsidR="00034DEA" w:rsidRDefault="00034DEA" w:rsidP="00EC4363">
            <w:pPr>
              <w:pStyle w:val="TableParagraph"/>
              <w:spacing w:before="68"/>
              <w:ind w:left="123"/>
              <w:rPr>
                <w:b/>
                <w:sz w:val="20"/>
              </w:rPr>
            </w:pPr>
            <w:r>
              <w:rPr>
                <w:b/>
                <w:sz w:val="20"/>
              </w:rPr>
              <w:t>Employee</w:t>
            </w:r>
          </w:p>
        </w:tc>
        <w:tc>
          <w:tcPr>
            <w:tcW w:w="6178" w:type="dxa"/>
          </w:tcPr>
          <w:p w14:paraId="70904E66" w14:textId="77777777" w:rsidR="00034DEA" w:rsidRDefault="00034DEA" w:rsidP="00EC4363">
            <w:pPr>
              <w:pStyle w:val="TableParagraph"/>
              <w:spacing w:before="70"/>
              <w:ind w:right="109"/>
              <w:jc w:val="both"/>
              <w:rPr>
                <w:sz w:val="20"/>
              </w:rPr>
            </w:pPr>
            <w:r>
              <w:rPr>
                <w:sz w:val="20"/>
              </w:rPr>
              <w:t>A person employed by a local government in accordance with section 5.36 of the LGA including the CEO, Directors, Managers, officers, casual and contract employees</w:t>
            </w:r>
          </w:p>
        </w:tc>
      </w:tr>
      <w:tr w:rsidR="00034DEA" w14:paraId="7AA948C2" w14:textId="77777777" w:rsidTr="00EC4363">
        <w:trPr>
          <w:trHeight w:val="2923"/>
        </w:trPr>
        <w:tc>
          <w:tcPr>
            <w:tcW w:w="2828" w:type="dxa"/>
            <w:tcBorders>
              <w:left w:val="double" w:sz="2" w:space="0" w:color="EFEFEF"/>
            </w:tcBorders>
          </w:tcPr>
          <w:p w14:paraId="4202B0B9" w14:textId="77777777" w:rsidR="00034DEA" w:rsidRDefault="00034DEA" w:rsidP="00EC4363">
            <w:pPr>
              <w:pStyle w:val="TableParagraph"/>
              <w:spacing w:before="27"/>
              <w:ind w:left="123"/>
              <w:rPr>
                <w:b/>
                <w:sz w:val="20"/>
              </w:rPr>
            </w:pPr>
            <w:r>
              <w:rPr>
                <w:b/>
                <w:sz w:val="20"/>
              </w:rPr>
              <w:lastRenderedPageBreak/>
              <w:t>Fraud</w:t>
            </w:r>
          </w:p>
        </w:tc>
        <w:tc>
          <w:tcPr>
            <w:tcW w:w="6178" w:type="dxa"/>
          </w:tcPr>
          <w:p w14:paraId="7C428BBC" w14:textId="77777777" w:rsidR="00034DEA" w:rsidRDefault="00034DEA" w:rsidP="00EC4363">
            <w:pPr>
              <w:pStyle w:val="TableParagraph"/>
              <w:spacing w:before="30"/>
              <w:ind w:right="103"/>
              <w:jc w:val="both"/>
              <w:rPr>
                <w:sz w:val="20"/>
              </w:rPr>
            </w:pPr>
            <w:r>
              <w:rPr>
                <w:sz w:val="20"/>
              </w:rPr>
              <w:t>Dishonest activity causing actual or potential financial loss to any person or entity including theft of moneys or other property by employees</w:t>
            </w:r>
            <w:r>
              <w:rPr>
                <w:spacing w:val="-6"/>
                <w:sz w:val="20"/>
              </w:rPr>
              <w:t xml:space="preserve"> </w:t>
            </w:r>
            <w:r>
              <w:rPr>
                <w:sz w:val="20"/>
              </w:rPr>
              <w:t>or</w:t>
            </w:r>
            <w:r>
              <w:rPr>
                <w:spacing w:val="-7"/>
                <w:sz w:val="20"/>
              </w:rPr>
              <w:t xml:space="preserve"> </w:t>
            </w:r>
            <w:r>
              <w:rPr>
                <w:sz w:val="20"/>
              </w:rPr>
              <w:t>persons</w:t>
            </w:r>
            <w:r>
              <w:rPr>
                <w:spacing w:val="-7"/>
                <w:sz w:val="20"/>
              </w:rPr>
              <w:t xml:space="preserve"> </w:t>
            </w:r>
            <w:r>
              <w:rPr>
                <w:sz w:val="20"/>
              </w:rPr>
              <w:t>external</w:t>
            </w:r>
            <w:r>
              <w:rPr>
                <w:spacing w:val="-7"/>
                <w:sz w:val="20"/>
              </w:rPr>
              <w:t xml:space="preserve"> </w:t>
            </w:r>
            <w:r>
              <w:rPr>
                <w:sz w:val="20"/>
              </w:rPr>
              <w:t>to</w:t>
            </w:r>
            <w:r>
              <w:rPr>
                <w:spacing w:val="-7"/>
                <w:sz w:val="20"/>
              </w:rPr>
              <w:t xml:space="preserve"> </w:t>
            </w:r>
            <w:r>
              <w:rPr>
                <w:sz w:val="20"/>
              </w:rPr>
              <w:t>the</w:t>
            </w:r>
            <w:r>
              <w:rPr>
                <w:spacing w:val="-9"/>
                <w:sz w:val="20"/>
              </w:rPr>
              <w:t xml:space="preserve"> </w:t>
            </w:r>
            <w:r>
              <w:rPr>
                <w:sz w:val="20"/>
              </w:rPr>
              <w:t>entity</w:t>
            </w:r>
            <w:r>
              <w:rPr>
                <w:spacing w:val="-10"/>
                <w:sz w:val="20"/>
              </w:rPr>
              <w:t xml:space="preserve"> </w:t>
            </w:r>
            <w:r>
              <w:rPr>
                <w:sz w:val="20"/>
              </w:rPr>
              <w:t>and</w:t>
            </w:r>
            <w:r>
              <w:rPr>
                <w:spacing w:val="-7"/>
                <w:sz w:val="20"/>
              </w:rPr>
              <w:t xml:space="preserve"> </w:t>
            </w:r>
            <w:r>
              <w:rPr>
                <w:sz w:val="20"/>
              </w:rPr>
              <w:t>where</w:t>
            </w:r>
            <w:r>
              <w:rPr>
                <w:spacing w:val="-4"/>
                <w:sz w:val="20"/>
              </w:rPr>
              <w:t xml:space="preserve"> </w:t>
            </w:r>
            <w:r>
              <w:rPr>
                <w:sz w:val="20"/>
              </w:rPr>
              <w:t>deception</w:t>
            </w:r>
            <w:r>
              <w:rPr>
                <w:spacing w:val="-7"/>
                <w:sz w:val="20"/>
              </w:rPr>
              <w:t xml:space="preserve"> </w:t>
            </w:r>
            <w:r>
              <w:rPr>
                <w:sz w:val="20"/>
              </w:rPr>
              <w:t>is used at the time, immediately before or immediately following the activity.</w:t>
            </w:r>
            <w:r>
              <w:rPr>
                <w:spacing w:val="-11"/>
                <w:sz w:val="20"/>
              </w:rPr>
              <w:t xml:space="preserve"> </w:t>
            </w:r>
            <w:r>
              <w:rPr>
                <w:sz w:val="20"/>
              </w:rPr>
              <w:t>This</w:t>
            </w:r>
            <w:r>
              <w:rPr>
                <w:spacing w:val="-7"/>
                <w:sz w:val="20"/>
              </w:rPr>
              <w:t xml:space="preserve"> </w:t>
            </w:r>
            <w:r>
              <w:rPr>
                <w:sz w:val="20"/>
              </w:rPr>
              <w:t>also</w:t>
            </w:r>
            <w:r>
              <w:rPr>
                <w:spacing w:val="-9"/>
                <w:sz w:val="20"/>
              </w:rPr>
              <w:t xml:space="preserve"> </w:t>
            </w:r>
            <w:r>
              <w:rPr>
                <w:sz w:val="20"/>
              </w:rPr>
              <w:t>includes</w:t>
            </w:r>
            <w:r>
              <w:rPr>
                <w:spacing w:val="-8"/>
                <w:sz w:val="20"/>
              </w:rPr>
              <w:t xml:space="preserve"> </w:t>
            </w:r>
            <w:r>
              <w:rPr>
                <w:sz w:val="20"/>
              </w:rPr>
              <w:t>the</w:t>
            </w:r>
            <w:r>
              <w:rPr>
                <w:spacing w:val="-9"/>
                <w:sz w:val="20"/>
              </w:rPr>
              <w:t xml:space="preserve"> </w:t>
            </w:r>
            <w:r>
              <w:rPr>
                <w:sz w:val="20"/>
              </w:rPr>
              <w:t>deliberate</w:t>
            </w:r>
            <w:r>
              <w:rPr>
                <w:spacing w:val="-9"/>
                <w:sz w:val="20"/>
              </w:rPr>
              <w:t xml:space="preserve"> </w:t>
            </w:r>
            <w:r>
              <w:rPr>
                <w:sz w:val="20"/>
              </w:rPr>
              <w:t>falsification,</w:t>
            </w:r>
            <w:r>
              <w:rPr>
                <w:spacing w:val="-8"/>
                <w:sz w:val="20"/>
              </w:rPr>
              <w:t xml:space="preserve"> </w:t>
            </w:r>
            <w:r>
              <w:rPr>
                <w:sz w:val="20"/>
              </w:rPr>
              <w:t>concealment, destruction or use of falsified documentation used or intended for use for a normal purpose or the improper use of information or position for personal financial</w:t>
            </w:r>
            <w:r>
              <w:rPr>
                <w:spacing w:val="-7"/>
                <w:sz w:val="20"/>
              </w:rPr>
              <w:t xml:space="preserve"> </w:t>
            </w:r>
            <w:r>
              <w:rPr>
                <w:sz w:val="20"/>
              </w:rPr>
              <w:t>benefit.</w:t>
            </w:r>
          </w:p>
          <w:p w14:paraId="1FF7A608" w14:textId="77777777" w:rsidR="00034DEA" w:rsidRDefault="00034DEA" w:rsidP="00EC4363">
            <w:pPr>
              <w:pStyle w:val="TableParagraph"/>
              <w:spacing w:before="61"/>
              <w:ind w:right="106"/>
              <w:jc w:val="both"/>
              <w:rPr>
                <w:sz w:val="20"/>
              </w:rPr>
            </w:pPr>
            <w:r>
              <w:rPr>
                <w:sz w:val="20"/>
              </w:rPr>
              <w:t>The theft of property belonging to an entity by a person or persons internal to the entity but where deception is not used is also considered 'fraud' [for the purposes of this standard] (Source: AS8001:2008).</w:t>
            </w:r>
          </w:p>
        </w:tc>
      </w:tr>
      <w:tr w:rsidR="00034DEA" w14:paraId="3248C869" w14:textId="77777777" w:rsidTr="00EC4363">
        <w:trPr>
          <w:trHeight w:val="375"/>
        </w:trPr>
        <w:tc>
          <w:tcPr>
            <w:tcW w:w="2828" w:type="dxa"/>
            <w:tcBorders>
              <w:left w:val="double" w:sz="2" w:space="0" w:color="EFEFEF"/>
            </w:tcBorders>
          </w:tcPr>
          <w:p w14:paraId="4B594219" w14:textId="77777777" w:rsidR="00034DEA" w:rsidRDefault="00034DEA" w:rsidP="00EC4363">
            <w:pPr>
              <w:pStyle w:val="TableParagraph"/>
              <w:spacing w:before="70"/>
              <w:ind w:left="123"/>
              <w:rPr>
                <w:b/>
                <w:sz w:val="20"/>
              </w:rPr>
            </w:pPr>
            <w:r>
              <w:rPr>
                <w:b/>
                <w:sz w:val="20"/>
              </w:rPr>
              <w:t>LGA</w:t>
            </w:r>
          </w:p>
        </w:tc>
        <w:tc>
          <w:tcPr>
            <w:tcW w:w="6178" w:type="dxa"/>
          </w:tcPr>
          <w:p w14:paraId="3A498A3B" w14:textId="77777777" w:rsidR="00034DEA" w:rsidRDefault="00034DEA" w:rsidP="00EC4363">
            <w:pPr>
              <w:pStyle w:val="TableParagraph"/>
              <w:spacing w:before="73"/>
              <w:rPr>
                <w:sz w:val="20"/>
              </w:rPr>
            </w:pPr>
            <w:r>
              <w:rPr>
                <w:sz w:val="20"/>
              </w:rPr>
              <w:t>Local Government Act 1995</w:t>
            </w:r>
          </w:p>
        </w:tc>
      </w:tr>
      <w:tr w:rsidR="00034DEA" w14:paraId="483B2A4C" w14:textId="77777777" w:rsidTr="00EC4363">
        <w:trPr>
          <w:trHeight w:val="2612"/>
        </w:trPr>
        <w:tc>
          <w:tcPr>
            <w:tcW w:w="2828" w:type="dxa"/>
            <w:tcBorders>
              <w:left w:val="double" w:sz="2" w:space="0" w:color="EFEFEF"/>
            </w:tcBorders>
          </w:tcPr>
          <w:p w14:paraId="2D3D28DB" w14:textId="77777777" w:rsidR="00034DEA" w:rsidRDefault="00034DEA" w:rsidP="00EC4363">
            <w:pPr>
              <w:pStyle w:val="TableParagraph"/>
              <w:spacing w:before="70"/>
              <w:ind w:left="123"/>
              <w:rPr>
                <w:b/>
                <w:sz w:val="20"/>
              </w:rPr>
            </w:pPr>
            <w:r>
              <w:rPr>
                <w:b/>
                <w:sz w:val="20"/>
              </w:rPr>
              <w:t>Minor Misconduct</w:t>
            </w:r>
          </w:p>
        </w:tc>
        <w:tc>
          <w:tcPr>
            <w:tcW w:w="6178" w:type="dxa"/>
          </w:tcPr>
          <w:p w14:paraId="1E5522B1" w14:textId="77777777" w:rsidR="00034DEA" w:rsidRDefault="00034DEA" w:rsidP="00EC4363">
            <w:pPr>
              <w:pStyle w:val="TableParagraph"/>
              <w:spacing w:before="32"/>
              <w:ind w:right="435"/>
              <w:jc w:val="both"/>
              <w:rPr>
                <w:sz w:val="20"/>
              </w:rPr>
            </w:pPr>
            <w:r>
              <w:rPr>
                <w:sz w:val="20"/>
              </w:rPr>
              <w:t>Minor misconduct occurs if a Public Officer engages in conduct that:</w:t>
            </w:r>
          </w:p>
          <w:p w14:paraId="43209E91" w14:textId="77777777" w:rsidR="00034DEA" w:rsidRDefault="00034DEA" w:rsidP="00EC4363">
            <w:pPr>
              <w:pStyle w:val="TableParagraph"/>
              <w:numPr>
                <w:ilvl w:val="0"/>
                <w:numId w:val="4"/>
              </w:numPr>
              <w:tabs>
                <w:tab w:val="left" w:pos="700"/>
              </w:tabs>
              <w:spacing w:before="46"/>
              <w:ind w:right="106"/>
              <w:jc w:val="both"/>
              <w:rPr>
                <w:sz w:val="20"/>
              </w:rPr>
            </w:pPr>
            <w:r>
              <w:rPr>
                <w:sz w:val="20"/>
              </w:rPr>
              <w:t>adversely affects the honest or impartial performance of the functions of a Public Authority or Public Officer, whether or not the Public Officer was acting in their Public Officer capacity at the time of engaging in the conduct;</w:t>
            </w:r>
            <w:r>
              <w:rPr>
                <w:spacing w:val="-13"/>
                <w:sz w:val="20"/>
              </w:rPr>
              <w:t xml:space="preserve"> </w:t>
            </w:r>
            <w:r>
              <w:rPr>
                <w:sz w:val="20"/>
              </w:rPr>
              <w:t>or</w:t>
            </w:r>
          </w:p>
          <w:p w14:paraId="556FF857" w14:textId="77777777" w:rsidR="00034DEA" w:rsidRDefault="00034DEA" w:rsidP="00EC4363">
            <w:pPr>
              <w:pStyle w:val="TableParagraph"/>
              <w:numPr>
                <w:ilvl w:val="0"/>
                <w:numId w:val="4"/>
              </w:numPr>
              <w:tabs>
                <w:tab w:val="left" w:pos="700"/>
              </w:tabs>
              <w:spacing w:before="2"/>
              <w:ind w:left="700" w:right="107"/>
              <w:jc w:val="both"/>
              <w:rPr>
                <w:sz w:val="20"/>
              </w:rPr>
            </w:pPr>
            <w:r>
              <w:rPr>
                <w:sz w:val="20"/>
              </w:rPr>
              <w:t>involves</w:t>
            </w:r>
            <w:r>
              <w:rPr>
                <w:spacing w:val="-4"/>
                <w:sz w:val="20"/>
              </w:rPr>
              <w:t xml:space="preserve"> </w:t>
            </w:r>
            <w:r>
              <w:rPr>
                <w:sz w:val="20"/>
              </w:rPr>
              <w:t>the</w:t>
            </w:r>
            <w:r>
              <w:rPr>
                <w:spacing w:val="-4"/>
                <w:sz w:val="20"/>
              </w:rPr>
              <w:t xml:space="preserve"> </w:t>
            </w:r>
            <w:r>
              <w:rPr>
                <w:sz w:val="20"/>
              </w:rPr>
              <w:t>performance</w:t>
            </w:r>
            <w:r>
              <w:rPr>
                <w:spacing w:val="-7"/>
                <w:sz w:val="20"/>
              </w:rPr>
              <w:t xml:space="preserve"> </w:t>
            </w:r>
            <w:r>
              <w:rPr>
                <w:sz w:val="20"/>
              </w:rPr>
              <w:t>of</w:t>
            </w:r>
            <w:r>
              <w:rPr>
                <w:spacing w:val="-6"/>
                <w:sz w:val="20"/>
              </w:rPr>
              <w:t xml:space="preserve"> </w:t>
            </w:r>
            <w:r>
              <w:rPr>
                <w:sz w:val="20"/>
              </w:rPr>
              <w:t>functions</w:t>
            </w:r>
            <w:r>
              <w:rPr>
                <w:spacing w:val="-3"/>
                <w:sz w:val="20"/>
              </w:rPr>
              <w:t xml:space="preserve"> </w:t>
            </w:r>
            <w:r>
              <w:rPr>
                <w:sz w:val="20"/>
              </w:rPr>
              <w:t>in</w:t>
            </w:r>
            <w:r>
              <w:rPr>
                <w:spacing w:val="-4"/>
                <w:sz w:val="20"/>
              </w:rPr>
              <w:t xml:space="preserve"> </w:t>
            </w:r>
            <w:r>
              <w:rPr>
                <w:sz w:val="20"/>
              </w:rPr>
              <w:t>a</w:t>
            </w:r>
            <w:r>
              <w:rPr>
                <w:spacing w:val="-7"/>
                <w:sz w:val="20"/>
              </w:rPr>
              <w:t xml:space="preserve"> </w:t>
            </w:r>
            <w:r>
              <w:rPr>
                <w:sz w:val="20"/>
              </w:rPr>
              <w:t>manner</w:t>
            </w:r>
            <w:r>
              <w:rPr>
                <w:spacing w:val="-6"/>
                <w:sz w:val="20"/>
              </w:rPr>
              <w:t xml:space="preserve"> </w:t>
            </w:r>
            <w:r>
              <w:rPr>
                <w:sz w:val="20"/>
              </w:rPr>
              <w:t>that</w:t>
            </w:r>
            <w:r>
              <w:rPr>
                <w:spacing w:val="-4"/>
                <w:sz w:val="20"/>
              </w:rPr>
              <w:t xml:space="preserve"> </w:t>
            </w:r>
            <w:r>
              <w:rPr>
                <w:sz w:val="20"/>
              </w:rPr>
              <w:t>is</w:t>
            </w:r>
            <w:r>
              <w:rPr>
                <w:spacing w:val="-5"/>
                <w:sz w:val="20"/>
              </w:rPr>
              <w:t xml:space="preserve"> </w:t>
            </w:r>
            <w:r>
              <w:rPr>
                <w:sz w:val="20"/>
              </w:rPr>
              <w:t>not honest or impartial;</w:t>
            </w:r>
            <w:r>
              <w:rPr>
                <w:spacing w:val="-1"/>
                <w:sz w:val="20"/>
              </w:rPr>
              <w:t xml:space="preserve"> </w:t>
            </w:r>
            <w:r>
              <w:rPr>
                <w:sz w:val="20"/>
              </w:rPr>
              <w:t>or</w:t>
            </w:r>
          </w:p>
          <w:p w14:paraId="43970F60" w14:textId="77777777" w:rsidR="00034DEA" w:rsidRDefault="00034DEA" w:rsidP="00EC4363">
            <w:pPr>
              <w:pStyle w:val="TableParagraph"/>
              <w:numPr>
                <w:ilvl w:val="0"/>
                <w:numId w:val="4"/>
              </w:numPr>
              <w:tabs>
                <w:tab w:val="left" w:pos="701"/>
              </w:tabs>
              <w:spacing w:line="229" w:lineRule="exact"/>
              <w:ind w:left="700" w:hanging="573"/>
              <w:jc w:val="both"/>
              <w:rPr>
                <w:sz w:val="20"/>
              </w:rPr>
            </w:pPr>
            <w:r>
              <w:rPr>
                <w:sz w:val="20"/>
              </w:rPr>
              <w:t>involves a breach of the trust placed in the Public Officer;</w:t>
            </w:r>
            <w:r>
              <w:rPr>
                <w:spacing w:val="-22"/>
                <w:sz w:val="20"/>
              </w:rPr>
              <w:t xml:space="preserve"> </w:t>
            </w:r>
            <w:r>
              <w:rPr>
                <w:sz w:val="20"/>
              </w:rPr>
              <w:t>or</w:t>
            </w:r>
          </w:p>
          <w:p w14:paraId="1535B3B0" w14:textId="77777777" w:rsidR="00034DEA" w:rsidRDefault="00034DEA" w:rsidP="00EC4363">
            <w:pPr>
              <w:pStyle w:val="TableParagraph"/>
              <w:numPr>
                <w:ilvl w:val="0"/>
                <w:numId w:val="4"/>
              </w:numPr>
              <w:tabs>
                <w:tab w:val="left" w:pos="700"/>
              </w:tabs>
              <w:spacing w:before="4" w:line="230" w:lineRule="exact"/>
              <w:ind w:right="107"/>
              <w:jc w:val="both"/>
              <w:rPr>
                <w:sz w:val="20"/>
              </w:rPr>
            </w:pPr>
            <w:r>
              <w:rPr>
                <w:sz w:val="20"/>
              </w:rPr>
              <w:t>involves the misuse of information or material that is in connection</w:t>
            </w:r>
            <w:r>
              <w:rPr>
                <w:spacing w:val="15"/>
                <w:sz w:val="20"/>
              </w:rPr>
              <w:t xml:space="preserve"> </w:t>
            </w:r>
            <w:r>
              <w:rPr>
                <w:sz w:val="20"/>
              </w:rPr>
              <w:t>with</w:t>
            </w:r>
            <w:r>
              <w:rPr>
                <w:spacing w:val="14"/>
                <w:sz w:val="20"/>
              </w:rPr>
              <w:t xml:space="preserve"> </w:t>
            </w:r>
            <w:r>
              <w:rPr>
                <w:sz w:val="20"/>
              </w:rPr>
              <w:t>their</w:t>
            </w:r>
            <w:r>
              <w:rPr>
                <w:spacing w:val="15"/>
                <w:sz w:val="20"/>
              </w:rPr>
              <w:t xml:space="preserve"> </w:t>
            </w:r>
            <w:r>
              <w:rPr>
                <w:sz w:val="20"/>
              </w:rPr>
              <w:t>functions</w:t>
            </w:r>
            <w:r>
              <w:rPr>
                <w:spacing w:val="15"/>
                <w:sz w:val="20"/>
              </w:rPr>
              <w:t xml:space="preserve"> </w:t>
            </w:r>
            <w:r>
              <w:rPr>
                <w:sz w:val="20"/>
              </w:rPr>
              <w:t>as</w:t>
            </w:r>
            <w:r>
              <w:rPr>
                <w:spacing w:val="16"/>
                <w:sz w:val="20"/>
              </w:rPr>
              <w:t xml:space="preserve"> </w:t>
            </w:r>
            <w:r>
              <w:rPr>
                <w:sz w:val="20"/>
              </w:rPr>
              <w:t>a</w:t>
            </w:r>
            <w:r>
              <w:rPr>
                <w:spacing w:val="15"/>
                <w:sz w:val="20"/>
              </w:rPr>
              <w:t xml:space="preserve"> </w:t>
            </w:r>
            <w:r>
              <w:rPr>
                <w:sz w:val="20"/>
              </w:rPr>
              <w:t>Public</w:t>
            </w:r>
            <w:r>
              <w:rPr>
                <w:spacing w:val="14"/>
                <w:sz w:val="20"/>
              </w:rPr>
              <w:t xml:space="preserve"> </w:t>
            </w:r>
            <w:r>
              <w:rPr>
                <w:sz w:val="20"/>
              </w:rPr>
              <w:t>Officer,</w:t>
            </w:r>
            <w:r>
              <w:rPr>
                <w:spacing w:val="14"/>
                <w:sz w:val="20"/>
              </w:rPr>
              <w:t xml:space="preserve"> </w:t>
            </w:r>
            <w:r>
              <w:rPr>
                <w:sz w:val="20"/>
              </w:rPr>
              <w:t>whether</w:t>
            </w:r>
          </w:p>
        </w:tc>
      </w:tr>
    </w:tbl>
    <w:p w14:paraId="2BF6B4BA" w14:textId="77777777" w:rsidR="00665C3D" w:rsidRPr="00AD6402" w:rsidRDefault="00665C3D" w:rsidP="00665C3D">
      <w:pPr>
        <w:rPr>
          <w:rFonts w:ascii="Arial" w:hAnsi="Arial" w:cs="Arial"/>
          <w:b/>
        </w:rPr>
      </w:pPr>
    </w:p>
    <w:p w14:paraId="32801265" w14:textId="77777777" w:rsidR="00665C3D" w:rsidRPr="00AD6402" w:rsidRDefault="00665C3D" w:rsidP="00665C3D">
      <w:pPr>
        <w:rPr>
          <w:rFonts w:ascii="Arial" w:hAnsi="Arial" w:cs="Arial"/>
          <w:b/>
        </w:rPr>
      </w:pPr>
    </w:p>
    <w:p w14:paraId="764E89D3" w14:textId="77777777" w:rsidR="00665C3D" w:rsidRPr="00AD6402" w:rsidRDefault="00665C3D" w:rsidP="00665C3D">
      <w:pPr>
        <w:rPr>
          <w:rFonts w:ascii="Arial" w:hAnsi="Arial" w:cs="Arial"/>
          <w:b/>
        </w:rPr>
      </w:pPr>
    </w:p>
    <w:p w14:paraId="3E0A5B63" w14:textId="77777777" w:rsidR="00665C3D" w:rsidRPr="00AD6402" w:rsidRDefault="00665C3D" w:rsidP="00665C3D">
      <w:pPr>
        <w:rPr>
          <w:rFonts w:ascii="Arial" w:hAnsi="Arial" w:cs="Arial"/>
        </w:rPr>
      </w:pPr>
    </w:p>
    <w:p w14:paraId="2E60C8FF" w14:textId="77777777" w:rsidR="00665C3D" w:rsidRPr="00AD6402" w:rsidRDefault="00665C3D" w:rsidP="00665C3D">
      <w:pPr>
        <w:rPr>
          <w:rFonts w:ascii="Arial" w:hAnsi="Arial" w:cs="Arial"/>
          <w:b/>
        </w:rPr>
      </w:pPr>
    </w:p>
    <w:tbl>
      <w:tblPr>
        <w:tblStyle w:val="TableGrid3"/>
        <w:tblW w:w="9286" w:type="dxa"/>
        <w:tblLook w:val="04A0" w:firstRow="1" w:lastRow="0" w:firstColumn="1" w:lastColumn="0" w:noHBand="0" w:noVBand="1"/>
      </w:tblPr>
      <w:tblGrid>
        <w:gridCol w:w="4077"/>
        <w:gridCol w:w="5209"/>
      </w:tblGrid>
      <w:tr w:rsidR="00665C3D" w:rsidRPr="00AD6402" w14:paraId="7F768132" w14:textId="77777777" w:rsidTr="00C71BB1">
        <w:tc>
          <w:tcPr>
            <w:tcW w:w="4077" w:type="dxa"/>
          </w:tcPr>
          <w:p w14:paraId="520BA4EB" w14:textId="77777777" w:rsidR="00665C3D" w:rsidRPr="00AD6402" w:rsidRDefault="00665C3D" w:rsidP="00C71BB1">
            <w:pPr>
              <w:rPr>
                <w:rFonts w:ascii="Arial" w:eastAsiaTheme="minorHAnsi" w:hAnsi="Arial" w:cs="Arial"/>
              </w:rPr>
            </w:pPr>
            <w:r w:rsidRPr="00AD6402">
              <w:rPr>
                <w:rFonts w:ascii="Arial" w:eastAsiaTheme="minorHAnsi" w:hAnsi="Arial" w:cs="Arial"/>
                <w:b/>
              </w:rPr>
              <w:t>Legislation</w:t>
            </w:r>
          </w:p>
        </w:tc>
        <w:tc>
          <w:tcPr>
            <w:tcW w:w="5209" w:type="dxa"/>
          </w:tcPr>
          <w:p w14:paraId="23C2B3C0" w14:textId="77777777" w:rsidR="00665C3D" w:rsidRPr="00AD6402" w:rsidRDefault="00665C3D" w:rsidP="00C71BB1">
            <w:pPr>
              <w:rPr>
                <w:rFonts w:ascii="Arial" w:eastAsiaTheme="minorHAnsi" w:hAnsi="Arial" w:cs="Arial"/>
              </w:rPr>
            </w:pPr>
            <w:r w:rsidRPr="00AD6402">
              <w:rPr>
                <w:rFonts w:ascii="Arial" w:eastAsiaTheme="minorHAnsi" w:hAnsi="Arial" w:cs="Arial"/>
              </w:rPr>
              <w:t>Local Government Act 1995 s.9.49A</w:t>
            </w:r>
          </w:p>
        </w:tc>
      </w:tr>
      <w:tr w:rsidR="00665C3D" w:rsidRPr="00AD6402" w14:paraId="7A5BFF3D" w14:textId="77777777" w:rsidTr="00C71BB1">
        <w:tc>
          <w:tcPr>
            <w:tcW w:w="4077" w:type="dxa"/>
          </w:tcPr>
          <w:p w14:paraId="00476111" w14:textId="77777777" w:rsidR="00665C3D" w:rsidRPr="00AD6402" w:rsidRDefault="00665C3D" w:rsidP="00C71BB1">
            <w:pPr>
              <w:rPr>
                <w:rFonts w:ascii="Arial" w:eastAsiaTheme="minorHAnsi" w:hAnsi="Arial" w:cs="Arial"/>
              </w:rPr>
            </w:pPr>
            <w:r w:rsidRPr="00AD6402">
              <w:rPr>
                <w:rFonts w:ascii="Arial" w:eastAsiaTheme="minorHAnsi" w:hAnsi="Arial" w:cs="Arial"/>
                <w:b/>
              </w:rPr>
              <w:t>Responsible Officer</w:t>
            </w:r>
          </w:p>
        </w:tc>
        <w:tc>
          <w:tcPr>
            <w:tcW w:w="5209" w:type="dxa"/>
          </w:tcPr>
          <w:p w14:paraId="4D636D11" w14:textId="77777777" w:rsidR="00665C3D" w:rsidRPr="00AD6402" w:rsidRDefault="00665C3D" w:rsidP="00C71BB1">
            <w:pPr>
              <w:rPr>
                <w:rFonts w:ascii="Arial" w:eastAsiaTheme="minorHAnsi" w:hAnsi="Arial" w:cs="Arial"/>
              </w:rPr>
            </w:pPr>
            <w:r w:rsidRPr="00AD6402">
              <w:rPr>
                <w:rFonts w:ascii="Arial" w:eastAsiaTheme="minorHAnsi" w:hAnsi="Arial" w:cs="Arial"/>
              </w:rPr>
              <w:t>Chief Executive Officer</w:t>
            </w:r>
          </w:p>
        </w:tc>
      </w:tr>
      <w:tr w:rsidR="00665C3D" w:rsidRPr="00AD6402" w14:paraId="3837922A" w14:textId="77777777" w:rsidTr="00C71BB1">
        <w:tc>
          <w:tcPr>
            <w:tcW w:w="4077" w:type="dxa"/>
          </w:tcPr>
          <w:p w14:paraId="365BBC20" w14:textId="77777777" w:rsidR="00665C3D" w:rsidRPr="00AD6402" w:rsidRDefault="00665C3D" w:rsidP="00C71BB1">
            <w:pPr>
              <w:rPr>
                <w:rFonts w:ascii="Arial" w:eastAsiaTheme="minorHAnsi" w:hAnsi="Arial" w:cs="Arial"/>
              </w:rPr>
            </w:pPr>
            <w:r w:rsidRPr="00AD6402">
              <w:rPr>
                <w:rFonts w:ascii="Arial" w:eastAsiaTheme="minorHAnsi" w:hAnsi="Arial" w:cs="Arial"/>
                <w:b/>
              </w:rPr>
              <w:t>Council Meeting Date</w:t>
            </w:r>
          </w:p>
        </w:tc>
        <w:tc>
          <w:tcPr>
            <w:tcW w:w="5209" w:type="dxa"/>
          </w:tcPr>
          <w:p w14:paraId="784CDFED" w14:textId="5EDDFE7B" w:rsidR="00665C3D" w:rsidRPr="00AD6402" w:rsidRDefault="0028077C" w:rsidP="00E32FDD">
            <w:pPr>
              <w:rPr>
                <w:rFonts w:ascii="Arial" w:eastAsiaTheme="minorHAnsi" w:hAnsi="Arial" w:cs="Arial"/>
              </w:rPr>
            </w:pPr>
            <w:r>
              <w:rPr>
                <w:rFonts w:ascii="Arial" w:eastAsiaTheme="minorHAnsi" w:hAnsi="Arial" w:cs="Arial"/>
              </w:rPr>
              <w:t>24 April 2025</w:t>
            </w:r>
          </w:p>
        </w:tc>
      </w:tr>
      <w:tr w:rsidR="00063399" w:rsidRPr="00AD6402" w14:paraId="03EBC019" w14:textId="77777777" w:rsidTr="00C71BB1">
        <w:tc>
          <w:tcPr>
            <w:tcW w:w="4077" w:type="dxa"/>
          </w:tcPr>
          <w:p w14:paraId="1441BEB2" w14:textId="23CA52DF" w:rsidR="00063399" w:rsidRPr="00AD6402" w:rsidRDefault="00063399" w:rsidP="00C71BB1">
            <w:pPr>
              <w:rPr>
                <w:rFonts w:ascii="Arial" w:hAnsi="Arial" w:cs="Arial"/>
                <w:b/>
              </w:rPr>
            </w:pPr>
            <w:r>
              <w:rPr>
                <w:rFonts w:ascii="Arial" w:hAnsi="Arial" w:cs="Arial"/>
                <w:b/>
              </w:rPr>
              <w:t xml:space="preserve">Created on </w:t>
            </w:r>
          </w:p>
        </w:tc>
        <w:tc>
          <w:tcPr>
            <w:tcW w:w="5209" w:type="dxa"/>
          </w:tcPr>
          <w:p w14:paraId="393D68D7" w14:textId="108F0E36" w:rsidR="00063399" w:rsidRDefault="00063399" w:rsidP="00E32FDD">
            <w:pPr>
              <w:rPr>
                <w:rFonts w:ascii="Arial" w:hAnsi="Arial" w:cs="Arial"/>
              </w:rPr>
            </w:pPr>
            <w:r>
              <w:rPr>
                <w:rFonts w:ascii="Arial" w:hAnsi="Arial" w:cs="Arial"/>
              </w:rPr>
              <w:t>08.08.2023</w:t>
            </w:r>
          </w:p>
        </w:tc>
      </w:tr>
      <w:tr w:rsidR="00665C3D" w:rsidRPr="00AD6402" w14:paraId="4FA77581" w14:textId="77777777" w:rsidTr="00C71BB1">
        <w:tc>
          <w:tcPr>
            <w:tcW w:w="4077" w:type="dxa"/>
          </w:tcPr>
          <w:p w14:paraId="46EF33E4" w14:textId="77777777" w:rsidR="00665C3D" w:rsidRPr="00AD6402" w:rsidRDefault="00665C3D" w:rsidP="00C71BB1">
            <w:pPr>
              <w:rPr>
                <w:rFonts w:ascii="Arial" w:eastAsiaTheme="minorHAnsi" w:hAnsi="Arial" w:cs="Arial"/>
              </w:rPr>
            </w:pPr>
            <w:r w:rsidRPr="00AD6402">
              <w:rPr>
                <w:rFonts w:ascii="Arial" w:eastAsiaTheme="minorHAnsi" w:hAnsi="Arial" w:cs="Arial"/>
                <w:b/>
              </w:rPr>
              <w:t>Review History</w:t>
            </w:r>
          </w:p>
        </w:tc>
        <w:tc>
          <w:tcPr>
            <w:tcW w:w="5209" w:type="dxa"/>
          </w:tcPr>
          <w:p w14:paraId="1AED6D40" w14:textId="77777777" w:rsidR="00665C3D" w:rsidRDefault="00ED3CA6" w:rsidP="0004426B">
            <w:pPr>
              <w:rPr>
                <w:rFonts w:ascii="Arial" w:hAnsi="Arial" w:cs="Arial"/>
              </w:rPr>
            </w:pPr>
            <w:r>
              <w:rPr>
                <w:rFonts w:ascii="Arial" w:hAnsi="Arial" w:cs="Arial"/>
              </w:rPr>
              <w:t>14.05.2024 no change</w:t>
            </w:r>
          </w:p>
          <w:p w14:paraId="61A69B7A" w14:textId="36F7E074" w:rsidR="00B77CF6" w:rsidRPr="00AD6402" w:rsidRDefault="00B77CF6" w:rsidP="0004426B">
            <w:pPr>
              <w:rPr>
                <w:rFonts w:ascii="Arial" w:eastAsiaTheme="minorHAnsi" w:hAnsi="Arial" w:cs="Arial"/>
              </w:rPr>
            </w:pPr>
            <w:r>
              <w:rPr>
                <w:rFonts w:ascii="Arial" w:hAnsi="Arial" w:cs="Arial"/>
              </w:rPr>
              <w:t>08.04.2025 no change</w:t>
            </w:r>
          </w:p>
        </w:tc>
      </w:tr>
      <w:tr w:rsidR="00665C3D" w:rsidRPr="00AD6402" w14:paraId="24EFA52A" w14:textId="77777777" w:rsidTr="00C71BB1">
        <w:tc>
          <w:tcPr>
            <w:tcW w:w="4077" w:type="dxa"/>
          </w:tcPr>
          <w:p w14:paraId="6653BC10" w14:textId="77777777" w:rsidR="00665C3D" w:rsidRPr="00AD6402" w:rsidRDefault="00665C3D" w:rsidP="00C71BB1">
            <w:pPr>
              <w:rPr>
                <w:rFonts w:ascii="Arial" w:eastAsiaTheme="minorHAnsi" w:hAnsi="Arial" w:cs="Arial"/>
              </w:rPr>
            </w:pPr>
            <w:r w:rsidRPr="00AD6402">
              <w:rPr>
                <w:rFonts w:ascii="Arial" w:eastAsiaTheme="minorHAnsi" w:hAnsi="Arial" w:cs="Arial"/>
                <w:b/>
              </w:rPr>
              <w:t>Next Review Date</w:t>
            </w:r>
          </w:p>
        </w:tc>
        <w:tc>
          <w:tcPr>
            <w:tcW w:w="5209" w:type="dxa"/>
          </w:tcPr>
          <w:p w14:paraId="3562A8BA" w14:textId="057891AC" w:rsidR="00665C3D" w:rsidRPr="001F5AB3" w:rsidRDefault="002C2DA6" w:rsidP="0004426B">
            <w:pPr>
              <w:rPr>
                <w:rFonts w:ascii="Arial" w:eastAsiaTheme="minorHAnsi" w:hAnsi="Arial" w:cs="Arial"/>
              </w:rPr>
            </w:pPr>
            <w:r>
              <w:rPr>
                <w:rFonts w:ascii="Arial" w:eastAsiaTheme="minorHAnsi" w:hAnsi="Arial" w:cs="Arial"/>
              </w:rPr>
              <w:t>01.05.</w:t>
            </w:r>
            <w:r w:rsidR="006F3C12">
              <w:rPr>
                <w:rFonts w:ascii="Arial" w:eastAsiaTheme="minorHAnsi" w:hAnsi="Arial" w:cs="Arial"/>
              </w:rPr>
              <w:t>2026</w:t>
            </w:r>
          </w:p>
        </w:tc>
      </w:tr>
    </w:tbl>
    <w:p w14:paraId="35A54A4F" w14:textId="77777777" w:rsidR="008779F2" w:rsidRPr="00AD6402" w:rsidRDefault="008779F2" w:rsidP="00665C3D">
      <w:pPr>
        <w:spacing w:after="0" w:line="240" w:lineRule="auto"/>
        <w:rPr>
          <w:rFonts w:ascii="Arial" w:hAnsi="Arial" w:cs="Arial"/>
        </w:rPr>
      </w:pPr>
    </w:p>
    <w:sectPr w:rsidR="008779F2" w:rsidRPr="00AD6402" w:rsidSect="007850DA">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71717" w14:textId="77777777" w:rsidR="00564AD7" w:rsidRDefault="00564AD7">
      <w:pPr>
        <w:spacing w:after="0" w:line="240" w:lineRule="auto"/>
      </w:pPr>
      <w:r>
        <w:separator/>
      </w:r>
    </w:p>
  </w:endnote>
  <w:endnote w:type="continuationSeparator" w:id="0">
    <w:p w14:paraId="5F448DEB" w14:textId="77777777" w:rsidR="00564AD7" w:rsidRDefault="0056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A2D6" w14:textId="77777777" w:rsidR="00564AD7" w:rsidRDefault="00564AD7">
      <w:pPr>
        <w:spacing w:after="0" w:line="240" w:lineRule="auto"/>
      </w:pPr>
      <w:r>
        <w:separator/>
      </w:r>
    </w:p>
  </w:footnote>
  <w:footnote w:type="continuationSeparator" w:id="0">
    <w:p w14:paraId="0E6F6927" w14:textId="77777777" w:rsidR="00564AD7" w:rsidRDefault="00564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5108D"/>
    <w:multiLevelType w:val="hybridMultilevel"/>
    <w:tmpl w:val="488A64A2"/>
    <w:lvl w:ilvl="0" w:tplc="2430C698">
      <w:start w:val="1"/>
      <w:numFmt w:val="lowerLetter"/>
      <w:lvlText w:val="(%1)"/>
      <w:lvlJc w:val="left"/>
      <w:pPr>
        <w:ind w:left="699" w:hanging="572"/>
        <w:jc w:val="left"/>
      </w:pPr>
      <w:rPr>
        <w:rFonts w:ascii="Arial" w:eastAsia="Arial" w:hAnsi="Arial" w:cs="Arial" w:hint="default"/>
        <w:spacing w:val="-1"/>
        <w:w w:val="99"/>
        <w:sz w:val="20"/>
        <w:szCs w:val="20"/>
        <w:lang w:val="en-AU" w:eastAsia="en-AU" w:bidi="en-AU"/>
      </w:rPr>
    </w:lvl>
    <w:lvl w:ilvl="1" w:tplc="451A5920">
      <w:numFmt w:val="bullet"/>
      <w:lvlText w:val="•"/>
      <w:lvlJc w:val="left"/>
      <w:pPr>
        <w:ind w:left="1243" w:hanging="572"/>
      </w:pPr>
      <w:rPr>
        <w:rFonts w:hint="default"/>
        <w:lang w:val="en-AU" w:eastAsia="en-AU" w:bidi="en-AU"/>
      </w:rPr>
    </w:lvl>
    <w:lvl w:ilvl="2" w:tplc="B47463D0">
      <w:numFmt w:val="bullet"/>
      <w:lvlText w:val="•"/>
      <w:lvlJc w:val="left"/>
      <w:pPr>
        <w:ind w:left="1786" w:hanging="572"/>
      </w:pPr>
      <w:rPr>
        <w:rFonts w:hint="default"/>
        <w:lang w:val="en-AU" w:eastAsia="en-AU" w:bidi="en-AU"/>
      </w:rPr>
    </w:lvl>
    <w:lvl w:ilvl="3" w:tplc="A6B05440">
      <w:numFmt w:val="bullet"/>
      <w:lvlText w:val="•"/>
      <w:lvlJc w:val="left"/>
      <w:pPr>
        <w:ind w:left="2329" w:hanging="572"/>
      </w:pPr>
      <w:rPr>
        <w:rFonts w:hint="default"/>
        <w:lang w:val="en-AU" w:eastAsia="en-AU" w:bidi="en-AU"/>
      </w:rPr>
    </w:lvl>
    <w:lvl w:ilvl="4" w:tplc="90847BCA">
      <w:numFmt w:val="bullet"/>
      <w:lvlText w:val="•"/>
      <w:lvlJc w:val="left"/>
      <w:pPr>
        <w:ind w:left="2873" w:hanging="572"/>
      </w:pPr>
      <w:rPr>
        <w:rFonts w:hint="default"/>
        <w:lang w:val="en-AU" w:eastAsia="en-AU" w:bidi="en-AU"/>
      </w:rPr>
    </w:lvl>
    <w:lvl w:ilvl="5" w:tplc="7070E388">
      <w:numFmt w:val="bullet"/>
      <w:lvlText w:val="•"/>
      <w:lvlJc w:val="left"/>
      <w:pPr>
        <w:ind w:left="3416" w:hanging="572"/>
      </w:pPr>
      <w:rPr>
        <w:rFonts w:hint="default"/>
        <w:lang w:val="en-AU" w:eastAsia="en-AU" w:bidi="en-AU"/>
      </w:rPr>
    </w:lvl>
    <w:lvl w:ilvl="6" w:tplc="8A58D55E">
      <w:numFmt w:val="bullet"/>
      <w:lvlText w:val="•"/>
      <w:lvlJc w:val="left"/>
      <w:pPr>
        <w:ind w:left="3959" w:hanging="572"/>
      </w:pPr>
      <w:rPr>
        <w:rFonts w:hint="default"/>
        <w:lang w:val="en-AU" w:eastAsia="en-AU" w:bidi="en-AU"/>
      </w:rPr>
    </w:lvl>
    <w:lvl w:ilvl="7" w:tplc="29B8EC7A">
      <w:numFmt w:val="bullet"/>
      <w:lvlText w:val="•"/>
      <w:lvlJc w:val="left"/>
      <w:pPr>
        <w:ind w:left="4503" w:hanging="572"/>
      </w:pPr>
      <w:rPr>
        <w:rFonts w:hint="default"/>
        <w:lang w:val="en-AU" w:eastAsia="en-AU" w:bidi="en-AU"/>
      </w:rPr>
    </w:lvl>
    <w:lvl w:ilvl="8" w:tplc="9C225E0C">
      <w:numFmt w:val="bullet"/>
      <w:lvlText w:val="•"/>
      <w:lvlJc w:val="left"/>
      <w:pPr>
        <w:ind w:left="5046" w:hanging="572"/>
      </w:pPr>
      <w:rPr>
        <w:rFonts w:hint="default"/>
        <w:lang w:val="en-AU" w:eastAsia="en-AU" w:bidi="en-AU"/>
      </w:rPr>
    </w:lvl>
  </w:abstractNum>
  <w:abstractNum w:abstractNumId="1" w15:restartNumberingAfterBreak="0">
    <w:nsid w:val="450763C7"/>
    <w:multiLevelType w:val="hybridMultilevel"/>
    <w:tmpl w:val="FD6A6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F65440C"/>
    <w:multiLevelType w:val="hybridMultilevel"/>
    <w:tmpl w:val="7EDE75AA"/>
    <w:lvl w:ilvl="0" w:tplc="79EE30E8">
      <w:start w:val="1"/>
      <w:numFmt w:val="decimal"/>
      <w:lvlText w:val="%1."/>
      <w:lvlJc w:val="left"/>
      <w:pPr>
        <w:ind w:left="720" w:hanging="360"/>
      </w:pPr>
      <w:rPr>
        <w:rFonts w:ascii="Tahoma" w:hAnsi="Tahoma"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4995CD9"/>
    <w:multiLevelType w:val="hybridMultilevel"/>
    <w:tmpl w:val="8BC44BC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57474597">
    <w:abstractNumId w:val="2"/>
  </w:num>
  <w:num w:numId="2" w16cid:durableId="534149622">
    <w:abstractNumId w:val="1"/>
  </w:num>
  <w:num w:numId="3" w16cid:durableId="814759683">
    <w:abstractNumId w:val="3"/>
  </w:num>
  <w:num w:numId="4" w16cid:durableId="125127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rI0sbA0tjQxNbdU0lEKTi0uzszPAykwrAUAQr52XSwAAAA="/>
  </w:docVars>
  <w:rsids>
    <w:rsidRoot w:val="00237216"/>
    <w:rsid w:val="0002563D"/>
    <w:rsid w:val="00034DEA"/>
    <w:rsid w:val="00043C39"/>
    <w:rsid w:val="0004426B"/>
    <w:rsid w:val="00063399"/>
    <w:rsid w:val="00084A57"/>
    <w:rsid w:val="000B488B"/>
    <w:rsid w:val="00114C59"/>
    <w:rsid w:val="001401D7"/>
    <w:rsid w:val="001656F8"/>
    <w:rsid w:val="001A6106"/>
    <w:rsid w:val="001D57BC"/>
    <w:rsid w:val="001F5AB3"/>
    <w:rsid w:val="002047D9"/>
    <w:rsid w:val="00220131"/>
    <w:rsid w:val="00237216"/>
    <w:rsid w:val="0027622E"/>
    <w:rsid w:val="0028077C"/>
    <w:rsid w:val="0029131D"/>
    <w:rsid w:val="002C2DA6"/>
    <w:rsid w:val="002D5CBF"/>
    <w:rsid w:val="002F2045"/>
    <w:rsid w:val="002F5024"/>
    <w:rsid w:val="00304A8F"/>
    <w:rsid w:val="00313805"/>
    <w:rsid w:val="0033028D"/>
    <w:rsid w:val="003D66DB"/>
    <w:rsid w:val="00445140"/>
    <w:rsid w:val="00481197"/>
    <w:rsid w:val="00500A9F"/>
    <w:rsid w:val="00504E23"/>
    <w:rsid w:val="00505FBA"/>
    <w:rsid w:val="00564AD7"/>
    <w:rsid w:val="005B11A5"/>
    <w:rsid w:val="0060364F"/>
    <w:rsid w:val="00626103"/>
    <w:rsid w:val="00626956"/>
    <w:rsid w:val="00665C3D"/>
    <w:rsid w:val="00697A48"/>
    <w:rsid w:val="006D0300"/>
    <w:rsid w:val="006F06D0"/>
    <w:rsid w:val="006F3C12"/>
    <w:rsid w:val="0072492E"/>
    <w:rsid w:val="00745876"/>
    <w:rsid w:val="007523B7"/>
    <w:rsid w:val="0077782C"/>
    <w:rsid w:val="00795786"/>
    <w:rsid w:val="007A5D1A"/>
    <w:rsid w:val="007B3F36"/>
    <w:rsid w:val="007D55FA"/>
    <w:rsid w:val="007E2AB1"/>
    <w:rsid w:val="00833ED4"/>
    <w:rsid w:val="00840493"/>
    <w:rsid w:val="008779F2"/>
    <w:rsid w:val="008811BC"/>
    <w:rsid w:val="00894EBD"/>
    <w:rsid w:val="008B094E"/>
    <w:rsid w:val="00947124"/>
    <w:rsid w:val="00957B7B"/>
    <w:rsid w:val="009928EA"/>
    <w:rsid w:val="00A71D97"/>
    <w:rsid w:val="00AB37C7"/>
    <w:rsid w:val="00AD6402"/>
    <w:rsid w:val="00AE05C6"/>
    <w:rsid w:val="00AF4A1F"/>
    <w:rsid w:val="00B305CB"/>
    <w:rsid w:val="00B51C7C"/>
    <w:rsid w:val="00B77CF6"/>
    <w:rsid w:val="00BC657B"/>
    <w:rsid w:val="00C1272B"/>
    <w:rsid w:val="00C807E5"/>
    <w:rsid w:val="00CB1103"/>
    <w:rsid w:val="00D03893"/>
    <w:rsid w:val="00D44936"/>
    <w:rsid w:val="00D60227"/>
    <w:rsid w:val="00DC1946"/>
    <w:rsid w:val="00E32FDD"/>
    <w:rsid w:val="00E3400F"/>
    <w:rsid w:val="00E648E6"/>
    <w:rsid w:val="00E6602E"/>
    <w:rsid w:val="00EA6B4A"/>
    <w:rsid w:val="00ED3CA6"/>
    <w:rsid w:val="00ED7831"/>
    <w:rsid w:val="00F00509"/>
    <w:rsid w:val="00F90B9F"/>
    <w:rsid w:val="00FA12FB"/>
    <w:rsid w:val="00FB7D25"/>
    <w:rsid w:val="00FC3767"/>
    <w:rsid w:val="00FE57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BDD97"/>
  <w15:docId w15:val="{72BD76BC-AB10-439A-9733-7EA07117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216"/>
  </w:style>
  <w:style w:type="paragraph" w:styleId="Heading2">
    <w:name w:val="heading 2"/>
    <w:basedOn w:val="Normal"/>
    <w:link w:val="Heading2Char"/>
    <w:uiPriority w:val="1"/>
    <w:qFormat/>
    <w:rsid w:val="00504E23"/>
    <w:pPr>
      <w:widowControl w:val="0"/>
      <w:autoSpaceDE w:val="0"/>
      <w:autoSpaceDN w:val="0"/>
      <w:spacing w:after="0" w:line="240" w:lineRule="auto"/>
      <w:ind w:left="138"/>
      <w:outlineLvl w:val="1"/>
    </w:pPr>
    <w:rPr>
      <w:rFonts w:ascii="Arial" w:eastAsia="Arial" w:hAnsi="Arial" w:cs="Arial"/>
      <w:b/>
      <w:bCs/>
      <w:lang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216"/>
    <w:pPr>
      <w:ind w:left="720"/>
      <w:contextualSpacing/>
    </w:pPr>
  </w:style>
  <w:style w:type="table" w:customStyle="1" w:styleId="TableGrid1">
    <w:name w:val="Table Grid1"/>
    <w:basedOn w:val="TableNormal"/>
    <w:next w:val="TableGrid"/>
    <w:uiPriority w:val="59"/>
    <w:rsid w:val="00237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65C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2A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B1"/>
    <w:rPr>
      <w:rFonts w:ascii="Segoe UI" w:hAnsi="Segoe UI" w:cs="Segoe UI"/>
      <w:sz w:val="18"/>
      <w:szCs w:val="18"/>
    </w:rPr>
  </w:style>
  <w:style w:type="character" w:styleId="CommentReference">
    <w:name w:val="annotation reference"/>
    <w:basedOn w:val="DefaultParagraphFont"/>
    <w:uiPriority w:val="99"/>
    <w:semiHidden/>
    <w:unhideWhenUsed/>
    <w:rsid w:val="00D03893"/>
    <w:rPr>
      <w:sz w:val="16"/>
      <w:szCs w:val="16"/>
    </w:rPr>
  </w:style>
  <w:style w:type="paragraph" w:styleId="CommentText">
    <w:name w:val="annotation text"/>
    <w:basedOn w:val="Normal"/>
    <w:link w:val="CommentTextChar"/>
    <w:uiPriority w:val="99"/>
    <w:semiHidden/>
    <w:unhideWhenUsed/>
    <w:rsid w:val="00D03893"/>
    <w:pPr>
      <w:spacing w:line="240" w:lineRule="auto"/>
    </w:pPr>
    <w:rPr>
      <w:sz w:val="20"/>
      <w:szCs w:val="20"/>
    </w:rPr>
  </w:style>
  <w:style w:type="character" w:customStyle="1" w:styleId="CommentTextChar">
    <w:name w:val="Comment Text Char"/>
    <w:basedOn w:val="DefaultParagraphFont"/>
    <w:link w:val="CommentText"/>
    <w:uiPriority w:val="99"/>
    <w:semiHidden/>
    <w:rsid w:val="00D03893"/>
    <w:rPr>
      <w:sz w:val="20"/>
      <w:szCs w:val="20"/>
    </w:rPr>
  </w:style>
  <w:style w:type="paragraph" w:styleId="CommentSubject">
    <w:name w:val="annotation subject"/>
    <w:basedOn w:val="CommentText"/>
    <w:next w:val="CommentText"/>
    <w:link w:val="CommentSubjectChar"/>
    <w:uiPriority w:val="99"/>
    <w:semiHidden/>
    <w:unhideWhenUsed/>
    <w:rsid w:val="00D03893"/>
    <w:rPr>
      <w:b/>
      <w:bCs/>
    </w:rPr>
  </w:style>
  <w:style w:type="character" w:customStyle="1" w:styleId="CommentSubjectChar">
    <w:name w:val="Comment Subject Char"/>
    <w:basedOn w:val="CommentTextChar"/>
    <w:link w:val="CommentSubject"/>
    <w:uiPriority w:val="99"/>
    <w:semiHidden/>
    <w:rsid w:val="00D03893"/>
    <w:rPr>
      <w:b/>
      <w:bCs/>
      <w:sz w:val="20"/>
      <w:szCs w:val="20"/>
    </w:rPr>
  </w:style>
  <w:style w:type="paragraph" w:styleId="BodyText">
    <w:name w:val="Body Text"/>
    <w:basedOn w:val="Normal"/>
    <w:link w:val="BodyTextChar"/>
    <w:uiPriority w:val="1"/>
    <w:qFormat/>
    <w:rsid w:val="00504E23"/>
    <w:pPr>
      <w:widowControl w:val="0"/>
      <w:autoSpaceDE w:val="0"/>
      <w:autoSpaceDN w:val="0"/>
      <w:spacing w:after="0" w:line="240" w:lineRule="auto"/>
    </w:pPr>
    <w:rPr>
      <w:rFonts w:ascii="Arial" w:eastAsia="Arial" w:hAnsi="Arial" w:cs="Arial"/>
      <w:lang w:eastAsia="en-AU" w:bidi="en-AU"/>
    </w:rPr>
  </w:style>
  <w:style w:type="character" w:customStyle="1" w:styleId="BodyTextChar">
    <w:name w:val="Body Text Char"/>
    <w:basedOn w:val="DefaultParagraphFont"/>
    <w:link w:val="BodyText"/>
    <w:uiPriority w:val="1"/>
    <w:rsid w:val="00504E23"/>
    <w:rPr>
      <w:rFonts w:ascii="Arial" w:eastAsia="Arial" w:hAnsi="Arial" w:cs="Arial"/>
      <w:lang w:eastAsia="en-AU" w:bidi="en-AU"/>
    </w:rPr>
  </w:style>
  <w:style w:type="character" w:customStyle="1" w:styleId="Heading2Char">
    <w:name w:val="Heading 2 Char"/>
    <w:basedOn w:val="DefaultParagraphFont"/>
    <w:link w:val="Heading2"/>
    <w:uiPriority w:val="1"/>
    <w:rsid w:val="00504E23"/>
    <w:rPr>
      <w:rFonts w:ascii="Arial" w:eastAsia="Arial" w:hAnsi="Arial" w:cs="Arial"/>
      <w:b/>
      <w:bCs/>
      <w:lang w:eastAsia="en-AU" w:bidi="en-AU"/>
    </w:rPr>
  </w:style>
  <w:style w:type="paragraph" w:customStyle="1" w:styleId="TableParagraph">
    <w:name w:val="Table Paragraph"/>
    <w:basedOn w:val="Normal"/>
    <w:uiPriority w:val="1"/>
    <w:qFormat/>
    <w:rsid w:val="00034DEA"/>
    <w:pPr>
      <w:widowControl w:val="0"/>
      <w:autoSpaceDE w:val="0"/>
      <w:autoSpaceDN w:val="0"/>
      <w:spacing w:after="0" w:line="240" w:lineRule="auto"/>
      <w:ind w:left="127"/>
    </w:pPr>
    <w:rPr>
      <w:rFonts w:ascii="Arial" w:eastAsia="Arial" w:hAnsi="Arial" w:cs="Arial"/>
      <w:lang w:eastAsia="en-AU" w:bidi="en-AU"/>
    </w:rPr>
  </w:style>
  <w:style w:type="paragraph" w:styleId="Revision">
    <w:name w:val="Revision"/>
    <w:hidden/>
    <w:uiPriority w:val="99"/>
    <w:semiHidden/>
    <w:rsid w:val="006F3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Mindarie Regional Council</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Callander</dc:creator>
  <cp:lastModifiedBy>Deborah Toward</cp:lastModifiedBy>
  <cp:revision>5</cp:revision>
  <cp:lastPrinted>2013-10-30T05:12:00Z</cp:lastPrinted>
  <dcterms:created xsi:type="dcterms:W3CDTF">2025-05-14T04:19:00Z</dcterms:created>
  <dcterms:modified xsi:type="dcterms:W3CDTF">2025-05-14T04:22:00Z</dcterms:modified>
</cp:coreProperties>
</file>